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F5" w:rsidRPr="008E2370" w:rsidRDefault="00BA73F5" w:rsidP="00BA73F5">
      <w:pPr>
        <w:rPr>
          <w:rFonts w:ascii="Times New Roman" w:hAnsi="Times New Roman" w:cs="Times New Roman"/>
          <w:b/>
        </w:rPr>
      </w:pPr>
      <w:r w:rsidRPr="008E2370">
        <w:rPr>
          <w:rFonts w:ascii="Times New Roman" w:hAnsi="Times New Roman" w:cs="Times New Roman"/>
          <w:b/>
        </w:rPr>
        <w:t>Amaç</w:t>
      </w:r>
    </w:p>
    <w:p w:rsidR="00BA73F5" w:rsidRDefault="00BA73F5" w:rsidP="00BA73F5">
      <w:pPr>
        <w:jc w:val="both"/>
        <w:rPr>
          <w:rFonts w:ascii="Times New Roman" w:hAnsi="Times New Roman" w:cs="Times New Roman"/>
        </w:rPr>
      </w:pPr>
      <w:r w:rsidRPr="008E2370">
        <w:rPr>
          <w:rFonts w:ascii="Times New Roman" w:hAnsi="Times New Roman" w:cs="Times New Roman"/>
        </w:rPr>
        <w:t xml:space="preserve">Bu </w:t>
      </w:r>
      <w:proofErr w:type="gramStart"/>
      <w:r w:rsidR="00C941DC">
        <w:rPr>
          <w:rFonts w:ascii="Times New Roman" w:hAnsi="Times New Roman" w:cs="Times New Roman"/>
        </w:rPr>
        <w:t>prosedür</w:t>
      </w:r>
      <w:r w:rsidRPr="008E2370">
        <w:rPr>
          <w:rFonts w:ascii="Times New Roman" w:hAnsi="Times New Roman" w:cs="Times New Roman"/>
        </w:rPr>
        <w:t>ün</w:t>
      </w:r>
      <w:proofErr w:type="gramEnd"/>
      <w:r w:rsidRPr="008E2370">
        <w:rPr>
          <w:rFonts w:ascii="Times New Roman" w:hAnsi="Times New Roman" w:cs="Times New Roman"/>
        </w:rPr>
        <w:t xml:space="preserve"> amacı </w:t>
      </w:r>
      <w:r>
        <w:rPr>
          <w:rFonts w:ascii="Times New Roman" w:hAnsi="Times New Roman" w:cs="Times New Roman"/>
        </w:rPr>
        <w:t>bilimsel ve etik ilkeler çerçevesinde Millî Eğitim Dergisi</w:t>
      </w:r>
      <w:r w:rsidR="00C941DC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ne başvurusu yapılan çalışmaların incelenmesi ve </w:t>
      </w:r>
      <w:r w:rsidRPr="008E2370">
        <w:rPr>
          <w:rFonts w:ascii="Times New Roman" w:hAnsi="Times New Roman" w:cs="Times New Roman"/>
        </w:rPr>
        <w:t>kalite, eşitlik ve etkililik ilkeleri ile millî ve toplumsal değe</w:t>
      </w:r>
      <w:r>
        <w:rPr>
          <w:rFonts w:ascii="Times New Roman" w:hAnsi="Times New Roman" w:cs="Times New Roman"/>
        </w:rPr>
        <w:t xml:space="preserve">rlere dayalı bir eğitim sistemin geliştirilmesine katkı sağlayacak makalelerin dergide yayımlanmasıdır. </w:t>
      </w:r>
    </w:p>
    <w:p w:rsidR="00BA73F5" w:rsidRPr="009D352B" w:rsidRDefault="00BA73F5" w:rsidP="00BA73F5">
      <w:pPr>
        <w:rPr>
          <w:rFonts w:ascii="Times New Roman" w:hAnsi="Times New Roman" w:cs="Times New Roman"/>
          <w:b/>
        </w:rPr>
      </w:pPr>
      <w:r w:rsidRPr="009D352B">
        <w:rPr>
          <w:rFonts w:ascii="Times New Roman" w:hAnsi="Times New Roman" w:cs="Times New Roman"/>
          <w:b/>
        </w:rPr>
        <w:t>Kapsam</w:t>
      </w:r>
    </w:p>
    <w:p w:rsidR="00BA73F5" w:rsidRDefault="00C941DC" w:rsidP="00BA73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</w:t>
      </w:r>
      <w:proofErr w:type="gramStart"/>
      <w:r>
        <w:rPr>
          <w:rFonts w:ascii="Times New Roman" w:hAnsi="Times New Roman" w:cs="Times New Roman"/>
        </w:rPr>
        <w:t>p</w:t>
      </w:r>
      <w:r w:rsidR="00BA73F5" w:rsidRPr="008E2370">
        <w:rPr>
          <w:rFonts w:ascii="Times New Roman" w:hAnsi="Times New Roman" w:cs="Times New Roman"/>
        </w:rPr>
        <w:t>rosedür</w:t>
      </w:r>
      <w:proofErr w:type="gramEnd"/>
      <w:r w:rsidR="00BA73F5" w:rsidRPr="008E2370">
        <w:rPr>
          <w:rFonts w:ascii="Times New Roman" w:hAnsi="Times New Roman" w:cs="Times New Roman"/>
        </w:rPr>
        <w:t>,</w:t>
      </w:r>
      <w:r w:rsidR="00BA73F5">
        <w:rPr>
          <w:rFonts w:ascii="Times New Roman" w:hAnsi="Times New Roman" w:cs="Times New Roman"/>
        </w:rPr>
        <w:t xml:space="preserve"> Millî Eğitim Dergisi</w:t>
      </w:r>
      <w:r>
        <w:rPr>
          <w:rFonts w:ascii="Times New Roman" w:hAnsi="Times New Roman" w:cs="Times New Roman"/>
        </w:rPr>
        <w:t>’</w:t>
      </w:r>
      <w:r w:rsidR="00BA73F5">
        <w:rPr>
          <w:rFonts w:ascii="Times New Roman" w:hAnsi="Times New Roman" w:cs="Times New Roman"/>
        </w:rPr>
        <w:t>ne başvurusu yapılan çalışmaların incelenmesi için editörlük süreçlerini, yayımlanmak üzere kabul ed</w:t>
      </w:r>
      <w:r>
        <w:rPr>
          <w:rFonts w:ascii="Times New Roman" w:hAnsi="Times New Roman" w:cs="Times New Roman"/>
        </w:rPr>
        <w:t>ilen makalelerin yayıma hazır hâ</w:t>
      </w:r>
      <w:r w:rsidR="00BA73F5">
        <w:rPr>
          <w:rFonts w:ascii="Times New Roman" w:hAnsi="Times New Roman" w:cs="Times New Roman"/>
        </w:rPr>
        <w:t xml:space="preserve">le getirilmesini ve dergi sayısının yayımlanması ile baskı ve hakem ücreti ödeme süreçlerinin </w:t>
      </w:r>
      <w:r w:rsidR="00BA73F5" w:rsidRPr="008E2370">
        <w:rPr>
          <w:rFonts w:ascii="Times New Roman" w:hAnsi="Times New Roman" w:cs="Times New Roman"/>
        </w:rPr>
        <w:t>nasıl yürütülmesi gerektiğini</w:t>
      </w:r>
      <w:r w:rsidR="00BA73F5">
        <w:rPr>
          <w:rFonts w:ascii="Times New Roman" w:hAnsi="Times New Roman" w:cs="Times New Roman"/>
        </w:rPr>
        <w:t xml:space="preserve"> kapsamaktadır.</w:t>
      </w:r>
    </w:p>
    <w:p w:rsidR="00BA73F5" w:rsidRPr="009D352B" w:rsidRDefault="00BA73F5" w:rsidP="00BA73F5">
      <w:pPr>
        <w:rPr>
          <w:rFonts w:ascii="Times New Roman" w:hAnsi="Times New Roman" w:cs="Times New Roman"/>
          <w:b/>
        </w:rPr>
      </w:pPr>
      <w:r w:rsidRPr="009D352B">
        <w:rPr>
          <w:rFonts w:ascii="Times New Roman" w:hAnsi="Times New Roman" w:cs="Times New Roman"/>
          <w:b/>
        </w:rPr>
        <w:t>Kısaltmalar/Tanımlar</w:t>
      </w:r>
    </w:p>
    <w:p w:rsidR="00BA73F5" w:rsidRPr="008E2370" w:rsidRDefault="00BA73F5" w:rsidP="00BA73F5">
      <w:pPr>
        <w:rPr>
          <w:rFonts w:ascii="Times New Roman" w:hAnsi="Times New Roman" w:cs="Times New Roman"/>
        </w:rPr>
      </w:pPr>
      <w:bookmarkStart w:id="0" w:name="_GoBack"/>
      <w:r w:rsidRPr="001030ED">
        <w:rPr>
          <w:rFonts w:ascii="Times New Roman" w:hAnsi="Times New Roman" w:cs="Times New Roman"/>
          <w:b/>
        </w:rPr>
        <w:t>MED: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>Millî Eğitim Dergisi</w:t>
      </w:r>
    </w:p>
    <w:p w:rsidR="00BA73F5" w:rsidRPr="009D352B" w:rsidRDefault="00BA73F5" w:rsidP="00BA73F5">
      <w:pPr>
        <w:rPr>
          <w:rFonts w:ascii="Times New Roman" w:hAnsi="Times New Roman" w:cs="Times New Roman"/>
          <w:b/>
        </w:rPr>
      </w:pPr>
      <w:r w:rsidRPr="009D352B">
        <w:rPr>
          <w:rFonts w:ascii="Times New Roman" w:hAnsi="Times New Roman" w:cs="Times New Roman"/>
          <w:b/>
        </w:rPr>
        <w:t>Sorumlular</w:t>
      </w:r>
    </w:p>
    <w:p w:rsidR="00BA73F5" w:rsidRPr="008E2370" w:rsidRDefault="00C941DC" w:rsidP="00BA73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</w:t>
      </w:r>
      <w:proofErr w:type="gramStart"/>
      <w:r>
        <w:rPr>
          <w:rFonts w:ascii="Times New Roman" w:hAnsi="Times New Roman" w:cs="Times New Roman"/>
        </w:rPr>
        <w:t>p</w:t>
      </w:r>
      <w:r w:rsidR="00BA73F5" w:rsidRPr="008E2370">
        <w:rPr>
          <w:rFonts w:ascii="Times New Roman" w:hAnsi="Times New Roman" w:cs="Times New Roman"/>
        </w:rPr>
        <w:t>rosedür</w:t>
      </w:r>
      <w:proofErr w:type="gramEnd"/>
      <w:r w:rsidR="00BA73F5" w:rsidRPr="008E2370">
        <w:rPr>
          <w:rFonts w:ascii="Times New Roman" w:hAnsi="Times New Roman" w:cs="Times New Roman"/>
        </w:rPr>
        <w:t>, Millî Eğitim Bakanlığı Talim ve Terbiye Kurulu Başkanlığı ilgili birim</w:t>
      </w:r>
      <w:r w:rsidR="00BA73F5">
        <w:rPr>
          <w:rFonts w:ascii="Times New Roman" w:hAnsi="Times New Roman" w:cs="Times New Roman"/>
        </w:rPr>
        <w:t>lerdeki personelin</w:t>
      </w:r>
      <w:r w:rsidR="00BA73F5" w:rsidRPr="008E2370">
        <w:rPr>
          <w:rFonts w:ascii="Times New Roman" w:hAnsi="Times New Roman" w:cs="Times New Roman"/>
        </w:rPr>
        <w:t xml:space="preserve"> sorumluluğundadır.</w:t>
      </w:r>
    </w:p>
    <w:p w:rsidR="00BA73F5" w:rsidRDefault="00BA73F5" w:rsidP="00BA73F5">
      <w:pPr>
        <w:rPr>
          <w:rFonts w:ascii="Times New Roman" w:hAnsi="Times New Roman" w:cs="Times New Roman"/>
          <w:b/>
        </w:rPr>
      </w:pPr>
      <w:r w:rsidRPr="009D352B">
        <w:rPr>
          <w:rFonts w:ascii="Times New Roman" w:hAnsi="Times New Roman" w:cs="Times New Roman"/>
          <w:b/>
        </w:rPr>
        <w:t>Uygulama</w:t>
      </w:r>
    </w:p>
    <w:p w:rsidR="00BA73F5" w:rsidRDefault="00C941DC" w:rsidP="00BA73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</w:t>
      </w:r>
      <w:proofErr w:type="gramStart"/>
      <w:r>
        <w:rPr>
          <w:rFonts w:ascii="Times New Roman" w:hAnsi="Times New Roman" w:cs="Times New Roman"/>
        </w:rPr>
        <w:t>p</w:t>
      </w:r>
      <w:r w:rsidR="00BA73F5" w:rsidRPr="004A1473">
        <w:rPr>
          <w:rFonts w:ascii="Times New Roman" w:hAnsi="Times New Roman" w:cs="Times New Roman"/>
        </w:rPr>
        <w:t>rosedür</w:t>
      </w:r>
      <w:proofErr w:type="gramEnd"/>
      <w:r w:rsidR="00BA73F5" w:rsidRPr="004A1473">
        <w:rPr>
          <w:rFonts w:ascii="Times New Roman" w:hAnsi="Times New Roman" w:cs="Times New Roman"/>
        </w:rPr>
        <w:t xml:space="preserve">; </w:t>
      </w:r>
      <w:proofErr w:type="spellStart"/>
      <w:r w:rsidR="00BA73F5">
        <w:rPr>
          <w:rFonts w:ascii="Times New Roman" w:hAnsi="Times New Roman" w:cs="Times New Roman"/>
        </w:rPr>
        <w:t>MED’e</w:t>
      </w:r>
      <w:proofErr w:type="spellEnd"/>
      <w:r w:rsidR="00BA73F5">
        <w:rPr>
          <w:rFonts w:ascii="Times New Roman" w:hAnsi="Times New Roman" w:cs="Times New Roman"/>
        </w:rPr>
        <w:t xml:space="preserve"> başvuru yapan makalelerin ön incelemesinin yapılması, editörlük süreçlerinin yürütülmesi, dergi </w:t>
      </w:r>
      <w:r>
        <w:rPr>
          <w:rFonts w:ascii="Times New Roman" w:hAnsi="Times New Roman" w:cs="Times New Roman"/>
        </w:rPr>
        <w:t>sayısının yayımlanması ile resmî</w:t>
      </w:r>
      <w:r w:rsidR="00BA73F5">
        <w:rPr>
          <w:rFonts w:ascii="Times New Roman" w:hAnsi="Times New Roman" w:cs="Times New Roman"/>
        </w:rPr>
        <w:t xml:space="preserve"> yazışma işlemlerinin gerçekleştirilmesi olmak üzere dört ana aşamaya ayrılmıştır.</w:t>
      </w:r>
    </w:p>
    <w:p w:rsidR="00BA73F5" w:rsidRPr="00010822" w:rsidRDefault="00BA73F5" w:rsidP="00BA73F5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b/>
          <w:i/>
        </w:rPr>
      </w:pPr>
      <w:r w:rsidRPr="00010822">
        <w:rPr>
          <w:rFonts w:ascii="Times New Roman" w:hAnsi="Times New Roman" w:cs="Times New Roman"/>
          <w:b/>
          <w:i/>
        </w:rPr>
        <w:t>Makalelerin Ön İncelemesinin Yapılması</w:t>
      </w:r>
    </w:p>
    <w:p w:rsidR="00BA73F5" w:rsidRDefault="00BA73F5" w:rsidP="00BA73F5">
      <w:pPr>
        <w:pStyle w:val="NormalWeb"/>
        <w:shd w:val="clear" w:color="auto" w:fill="FFFFFF"/>
        <w:spacing w:before="0" w:beforeAutospacing="0"/>
        <w:rPr>
          <w:rFonts w:ascii="Poppins" w:hAnsi="Poppins"/>
          <w:color w:val="111111"/>
          <w:sz w:val="21"/>
          <w:szCs w:val="21"/>
        </w:rPr>
      </w:pPr>
      <w:r>
        <w:rPr>
          <w:rFonts w:ascii="Poppins" w:hAnsi="Poppins"/>
          <w:color w:val="111111"/>
          <w:sz w:val="21"/>
          <w:szCs w:val="21"/>
        </w:rPr>
        <w:t>Yayımlanmak üzere gönderilen çalışmalar ilk olarak beş açıdan ele alınır:</w:t>
      </w:r>
    </w:p>
    <w:p w:rsidR="00BA73F5" w:rsidRDefault="00BA73F5" w:rsidP="00BA73F5">
      <w:pPr>
        <w:pStyle w:val="NormalWeb"/>
        <w:numPr>
          <w:ilvl w:val="0"/>
          <w:numId w:val="12"/>
        </w:numPr>
        <w:shd w:val="clear" w:color="auto" w:fill="FFFFFF"/>
        <w:spacing w:before="0" w:beforeAutospacing="0"/>
        <w:ind w:left="1276" w:hanging="425"/>
        <w:jc w:val="both"/>
        <w:rPr>
          <w:rFonts w:ascii="Poppins" w:hAnsi="Poppins"/>
          <w:color w:val="111111"/>
          <w:sz w:val="21"/>
          <w:szCs w:val="21"/>
        </w:rPr>
      </w:pPr>
      <w:r>
        <w:rPr>
          <w:rFonts w:ascii="Poppins" w:hAnsi="Poppins"/>
          <w:b/>
          <w:bCs/>
          <w:color w:val="111111"/>
          <w:sz w:val="21"/>
          <w:szCs w:val="21"/>
        </w:rPr>
        <w:t xml:space="preserve">Başvuru Şartlarına Uygunluk: </w:t>
      </w:r>
      <w:r>
        <w:rPr>
          <w:rFonts w:ascii="Poppins" w:hAnsi="Poppins"/>
          <w:color w:val="111111"/>
          <w:sz w:val="21"/>
          <w:szCs w:val="21"/>
        </w:rPr>
        <w:t>B</w:t>
      </w:r>
      <w:r w:rsidRPr="001A404B">
        <w:rPr>
          <w:rFonts w:ascii="Poppins" w:hAnsi="Poppins"/>
          <w:color w:val="111111"/>
          <w:sz w:val="21"/>
          <w:szCs w:val="21"/>
        </w:rPr>
        <w:t>elirtilen bilgi ve belgelerin eksiksiz olarak yüklenip yüklenmediği kontrol edilir.</w:t>
      </w:r>
    </w:p>
    <w:p w:rsidR="00BA73F5" w:rsidRDefault="00BA73F5" w:rsidP="00BA73F5">
      <w:pPr>
        <w:pStyle w:val="NormalWeb"/>
        <w:numPr>
          <w:ilvl w:val="0"/>
          <w:numId w:val="13"/>
        </w:numPr>
        <w:shd w:val="clear" w:color="auto" w:fill="FFFFFF"/>
        <w:spacing w:before="0" w:beforeAutospacing="0"/>
        <w:ind w:left="1276" w:hanging="425"/>
        <w:jc w:val="both"/>
        <w:rPr>
          <w:rFonts w:ascii="Poppins" w:hAnsi="Poppins"/>
          <w:color w:val="111111"/>
          <w:sz w:val="21"/>
          <w:szCs w:val="21"/>
        </w:rPr>
      </w:pPr>
      <w:r w:rsidRPr="001A404B">
        <w:rPr>
          <w:rFonts w:ascii="Poppins" w:hAnsi="Poppins"/>
          <w:color w:val="111111"/>
          <w:sz w:val="21"/>
          <w:szCs w:val="21"/>
        </w:rPr>
        <w:t xml:space="preserve">Makale adı, makale türü, yazar adları, </w:t>
      </w:r>
      <w:r w:rsidR="00C941DC">
        <w:rPr>
          <w:rFonts w:ascii="Poppins" w:hAnsi="Poppins"/>
          <w:color w:val="111111"/>
          <w:sz w:val="21"/>
          <w:szCs w:val="21"/>
        </w:rPr>
        <w:t>yazarların iletişim bilgileri (e</w:t>
      </w:r>
      <w:r w:rsidRPr="001A404B">
        <w:rPr>
          <w:rFonts w:ascii="Poppins" w:hAnsi="Poppins"/>
          <w:color w:val="111111"/>
          <w:sz w:val="21"/>
          <w:szCs w:val="21"/>
        </w:rPr>
        <w:t>-posta, telefon, görev yeri) ve ORCID bilgilerinin yer aldığı başvuru dilekçesi</w:t>
      </w:r>
    </w:p>
    <w:p w:rsidR="00BA73F5" w:rsidRDefault="00BA73F5" w:rsidP="00BA73F5">
      <w:pPr>
        <w:pStyle w:val="NormalWeb"/>
        <w:numPr>
          <w:ilvl w:val="0"/>
          <w:numId w:val="13"/>
        </w:numPr>
        <w:shd w:val="clear" w:color="auto" w:fill="FFFFFF"/>
        <w:spacing w:before="0" w:beforeAutospacing="0"/>
        <w:ind w:left="1276" w:hanging="425"/>
        <w:jc w:val="both"/>
        <w:rPr>
          <w:rFonts w:ascii="Poppins" w:hAnsi="Poppins"/>
          <w:color w:val="111111"/>
          <w:sz w:val="21"/>
          <w:szCs w:val="21"/>
        </w:rPr>
      </w:pPr>
      <w:r w:rsidRPr="001A404B">
        <w:rPr>
          <w:rFonts w:ascii="Poppins" w:hAnsi="Poppins"/>
          <w:color w:val="111111"/>
          <w:sz w:val="21"/>
          <w:szCs w:val="21"/>
        </w:rPr>
        <w:t>Makalenin yazar isimli tam metni (Word dosyası formatında)</w:t>
      </w:r>
    </w:p>
    <w:p w:rsidR="00BA73F5" w:rsidRDefault="00BA73F5" w:rsidP="00BA73F5">
      <w:pPr>
        <w:pStyle w:val="NormalWeb"/>
        <w:numPr>
          <w:ilvl w:val="0"/>
          <w:numId w:val="13"/>
        </w:numPr>
        <w:shd w:val="clear" w:color="auto" w:fill="FFFFFF"/>
        <w:spacing w:before="0" w:beforeAutospacing="0"/>
        <w:ind w:left="1276" w:hanging="425"/>
        <w:jc w:val="both"/>
        <w:rPr>
          <w:rFonts w:ascii="Poppins" w:hAnsi="Poppins"/>
          <w:color w:val="111111"/>
          <w:sz w:val="21"/>
          <w:szCs w:val="21"/>
        </w:rPr>
      </w:pPr>
      <w:r w:rsidRPr="001A404B">
        <w:rPr>
          <w:rFonts w:ascii="Poppins" w:hAnsi="Poppins"/>
          <w:color w:val="111111"/>
          <w:sz w:val="21"/>
          <w:szCs w:val="21"/>
        </w:rPr>
        <w:t>Makalenin yazar isimsiz tam metni (Word dosyası formatında) (</w:t>
      </w:r>
      <w:r w:rsidRPr="001A404B">
        <w:rPr>
          <w:rFonts w:ascii="Poppins" w:hAnsi="Poppins"/>
          <w:i/>
          <w:color w:val="111111"/>
          <w:sz w:val="21"/>
          <w:szCs w:val="21"/>
        </w:rPr>
        <w:t>Makale Dosyalar</w:t>
      </w:r>
      <w:r w:rsidRPr="001A404B">
        <w:rPr>
          <w:rFonts w:ascii="Poppins" w:hAnsi="Poppins" w:hint="eastAsia"/>
          <w:i/>
          <w:color w:val="111111"/>
          <w:sz w:val="21"/>
          <w:szCs w:val="21"/>
        </w:rPr>
        <w:t>ı</w:t>
      </w:r>
      <w:r w:rsidRPr="001A404B">
        <w:rPr>
          <w:rFonts w:ascii="Poppins" w:hAnsi="Poppins"/>
          <w:i/>
          <w:color w:val="111111"/>
          <w:sz w:val="21"/>
          <w:szCs w:val="21"/>
        </w:rPr>
        <w:t xml:space="preserve"> Sisteme Y</w:t>
      </w:r>
      <w:r w:rsidRPr="001A404B">
        <w:rPr>
          <w:rFonts w:ascii="Poppins" w:hAnsi="Poppins" w:hint="eastAsia"/>
          <w:i/>
          <w:color w:val="111111"/>
          <w:sz w:val="21"/>
          <w:szCs w:val="21"/>
        </w:rPr>
        <w:t>ü</w:t>
      </w:r>
      <w:r w:rsidRPr="001A404B">
        <w:rPr>
          <w:rFonts w:ascii="Poppins" w:hAnsi="Poppins"/>
          <w:i/>
          <w:color w:val="111111"/>
          <w:sz w:val="21"/>
          <w:szCs w:val="21"/>
        </w:rPr>
        <w:t xml:space="preserve">klenirken </w:t>
      </w:r>
      <w:r w:rsidRPr="001A404B">
        <w:rPr>
          <w:rFonts w:ascii="Poppins" w:hAnsi="Poppins" w:hint="eastAsia"/>
          <w:i/>
          <w:color w:val="111111"/>
          <w:sz w:val="21"/>
          <w:szCs w:val="21"/>
        </w:rPr>
        <w:t>İ</w:t>
      </w:r>
      <w:r w:rsidRPr="001A404B">
        <w:rPr>
          <w:rFonts w:ascii="Poppins" w:hAnsi="Poppins"/>
          <w:i/>
          <w:color w:val="111111"/>
          <w:sz w:val="21"/>
          <w:szCs w:val="21"/>
        </w:rPr>
        <w:t>simsiz Dosya "Tam Metin" Olarak Y</w:t>
      </w:r>
      <w:r w:rsidRPr="001A404B">
        <w:rPr>
          <w:rFonts w:ascii="Poppins" w:hAnsi="Poppins" w:hint="eastAsia"/>
          <w:i/>
          <w:color w:val="111111"/>
          <w:sz w:val="21"/>
          <w:szCs w:val="21"/>
        </w:rPr>
        <w:t>ü</w:t>
      </w:r>
      <w:r w:rsidRPr="001A404B">
        <w:rPr>
          <w:rFonts w:ascii="Poppins" w:hAnsi="Poppins"/>
          <w:i/>
          <w:color w:val="111111"/>
          <w:sz w:val="21"/>
          <w:szCs w:val="21"/>
        </w:rPr>
        <w:t>klenecek</w:t>
      </w:r>
      <w:r w:rsidR="00C941DC">
        <w:rPr>
          <w:rFonts w:ascii="Poppins" w:hAnsi="Poppins"/>
          <w:i/>
          <w:color w:val="111111"/>
          <w:sz w:val="21"/>
          <w:szCs w:val="21"/>
        </w:rPr>
        <w:t>.</w:t>
      </w:r>
      <w:r w:rsidRPr="001A404B">
        <w:rPr>
          <w:rFonts w:ascii="Poppins" w:hAnsi="Poppins"/>
          <w:color w:val="111111"/>
          <w:sz w:val="21"/>
          <w:szCs w:val="21"/>
        </w:rPr>
        <w:t>)</w:t>
      </w:r>
    </w:p>
    <w:p w:rsidR="00BA73F5" w:rsidRDefault="00BA73F5" w:rsidP="00BA73F5">
      <w:pPr>
        <w:pStyle w:val="NormalWeb"/>
        <w:numPr>
          <w:ilvl w:val="0"/>
          <w:numId w:val="13"/>
        </w:numPr>
        <w:shd w:val="clear" w:color="auto" w:fill="FFFFFF"/>
        <w:spacing w:before="0" w:beforeAutospacing="0"/>
        <w:ind w:left="1276" w:hanging="425"/>
        <w:jc w:val="both"/>
        <w:rPr>
          <w:rFonts w:ascii="Poppins" w:hAnsi="Poppins"/>
          <w:color w:val="111111"/>
          <w:sz w:val="21"/>
          <w:szCs w:val="21"/>
        </w:rPr>
      </w:pPr>
      <w:r w:rsidRPr="001A404B">
        <w:rPr>
          <w:rFonts w:ascii="Poppins" w:hAnsi="Poppins"/>
          <w:color w:val="111111"/>
          <w:sz w:val="21"/>
          <w:szCs w:val="21"/>
        </w:rPr>
        <w:t>Benzerlik raporu (PDF formatında, raporun tamamı)</w:t>
      </w:r>
    </w:p>
    <w:p w:rsidR="00BA73F5" w:rsidRDefault="00BA73F5" w:rsidP="00BA73F5">
      <w:pPr>
        <w:pStyle w:val="NormalWeb"/>
        <w:numPr>
          <w:ilvl w:val="0"/>
          <w:numId w:val="13"/>
        </w:numPr>
        <w:shd w:val="clear" w:color="auto" w:fill="FFFFFF"/>
        <w:spacing w:before="0" w:beforeAutospacing="0"/>
        <w:ind w:left="1276" w:hanging="425"/>
        <w:jc w:val="both"/>
        <w:rPr>
          <w:rFonts w:ascii="Poppins" w:hAnsi="Poppins"/>
          <w:color w:val="111111"/>
          <w:sz w:val="21"/>
          <w:szCs w:val="21"/>
        </w:rPr>
      </w:pPr>
      <w:r w:rsidRPr="001A404B">
        <w:rPr>
          <w:rFonts w:ascii="Poppins" w:hAnsi="Poppins"/>
          <w:color w:val="111111"/>
          <w:sz w:val="21"/>
          <w:szCs w:val="21"/>
        </w:rPr>
        <w:t>Telif Hakkı Devir Formu</w:t>
      </w:r>
    </w:p>
    <w:p w:rsidR="00BA73F5" w:rsidRDefault="00BA73F5" w:rsidP="00BA73F5">
      <w:pPr>
        <w:pStyle w:val="NormalWeb"/>
        <w:numPr>
          <w:ilvl w:val="0"/>
          <w:numId w:val="13"/>
        </w:numPr>
        <w:shd w:val="clear" w:color="auto" w:fill="FFFFFF"/>
        <w:spacing w:before="0" w:beforeAutospacing="0"/>
        <w:ind w:left="1276" w:hanging="425"/>
        <w:jc w:val="both"/>
        <w:rPr>
          <w:rFonts w:ascii="Poppins" w:hAnsi="Poppins"/>
          <w:color w:val="111111"/>
          <w:sz w:val="21"/>
          <w:szCs w:val="21"/>
        </w:rPr>
      </w:pPr>
      <w:r w:rsidRPr="001A404B">
        <w:rPr>
          <w:rFonts w:ascii="Poppins" w:hAnsi="Poppins"/>
          <w:color w:val="111111"/>
          <w:sz w:val="21"/>
          <w:szCs w:val="21"/>
        </w:rPr>
        <w:t>Etik Kurul İzin Belgesi (Etik Kurul İzni gerekmiyorsa gerekçesini bildiren açıklama dosyası)</w:t>
      </w:r>
    </w:p>
    <w:p w:rsidR="00BA73F5" w:rsidRDefault="00BA73F5" w:rsidP="00BA73F5">
      <w:pPr>
        <w:pStyle w:val="NormalWeb"/>
        <w:numPr>
          <w:ilvl w:val="0"/>
          <w:numId w:val="13"/>
        </w:numPr>
        <w:shd w:val="clear" w:color="auto" w:fill="FFFFFF"/>
        <w:spacing w:before="0" w:beforeAutospacing="0"/>
        <w:ind w:left="1276" w:hanging="425"/>
        <w:jc w:val="both"/>
        <w:rPr>
          <w:rFonts w:ascii="Poppins" w:hAnsi="Poppins"/>
          <w:color w:val="111111"/>
          <w:sz w:val="21"/>
          <w:szCs w:val="21"/>
        </w:rPr>
      </w:pPr>
      <w:r w:rsidRPr="001A404B">
        <w:rPr>
          <w:rFonts w:ascii="Poppins" w:hAnsi="Poppins"/>
          <w:color w:val="111111"/>
          <w:sz w:val="21"/>
          <w:szCs w:val="21"/>
        </w:rPr>
        <w:t xml:space="preserve">Makale başvuru ücreti </w:t>
      </w:r>
      <w:proofErr w:type="gramStart"/>
      <w:r w:rsidRPr="001A404B">
        <w:rPr>
          <w:rFonts w:ascii="Poppins" w:hAnsi="Poppins"/>
          <w:color w:val="111111"/>
          <w:sz w:val="21"/>
          <w:szCs w:val="21"/>
        </w:rPr>
        <w:t>dekontu</w:t>
      </w:r>
      <w:proofErr w:type="gramEnd"/>
      <w:r w:rsidRPr="001A404B">
        <w:rPr>
          <w:rFonts w:ascii="Poppins" w:hAnsi="Poppins"/>
          <w:color w:val="111111"/>
          <w:sz w:val="21"/>
          <w:szCs w:val="21"/>
        </w:rPr>
        <w:t xml:space="preserve"> </w:t>
      </w:r>
    </w:p>
    <w:p w:rsidR="00BA73F5" w:rsidRPr="001A404B" w:rsidRDefault="00BA73F5" w:rsidP="00BA73F5">
      <w:pPr>
        <w:pStyle w:val="NormalWeb"/>
        <w:numPr>
          <w:ilvl w:val="0"/>
          <w:numId w:val="13"/>
        </w:numPr>
        <w:shd w:val="clear" w:color="auto" w:fill="FFFFFF"/>
        <w:spacing w:before="0" w:beforeAutospacing="0"/>
        <w:ind w:left="1276" w:hanging="425"/>
        <w:jc w:val="both"/>
        <w:rPr>
          <w:rFonts w:ascii="Poppins" w:hAnsi="Poppins"/>
          <w:color w:val="111111"/>
          <w:sz w:val="21"/>
          <w:szCs w:val="21"/>
        </w:rPr>
      </w:pPr>
      <w:r>
        <w:rPr>
          <w:rFonts w:ascii="Poppins" w:hAnsi="Poppins"/>
          <w:color w:val="111111"/>
          <w:sz w:val="21"/>
          <w:szCs w:val="21"/>
        </w:rPr>
        <w:t>Araştırma ve Uygulama İzin Belgesi</w:t>
      </w:r>
    </w:p>
    <w:p w:rsidR="00BA73F5" w:rsidRDefault="00BA73F5" w:rsidP="00BA73F5">
      <w:pPr>
        <w:pStyle w:val="NormalWeb"/>
        <w:numPr>
          <w:ilvl w:val="0"/>
          <w:numId w:val="12"/>
        </w:numPr>
        <w:shd w:val="clear" w:color="auto" w:fill="FFFFFF"/>
        <w:spacing w:before="0" w:beforeAutospacing="0"/>
        <w:ind w:left="1276" w:hanging="425"/>
        <w:jc w:val="both"/>
        <w:rPr>
          <w:rFonts w:ascii="Poppins" w:hAnsi="Poppins"/>
          <w:color w:val="111111"/>
          <w:sz w:val="21"/>
          <w:szCs w:val="21"/>
        </w:rPr>
      </w:pPr>
      <w:r>
        <w:rPr>
          <w:rFonts w:ascii="Poppins" w:hAnsi="Poppins"/>
          <w:b/>
          <w:bCs/>
          <w:color w:val="111111"/>
          <w:sz w:val="21"/>
          <w:szCs w:val="21"/>
        </w:rPr>
        <w:t xml:space="preserve">Derginin Yazım Kurallarına Uygunluk: </w:t>
      </w:r>
      <w:r>
        <w:rPr>
          <w:rFonts w:ascii="Poppins" w:hAnsi="Poppins"/>
          <w:color w:val="111111"/>
          <w:sz w:val="21"/>
          <w:szCs w:val="21"/>
        </w:rPr>
        <w:t xml:space="preserve">Dilin doğru kullanımı ve akıcılık, imla kuralları, makale kelime sayısı, Türkçe ve İngilizce </w:t>
      </w:r>
      <w:r w:rsidRPr="00170B16">
        <w:rPr>
          <w:rFonts w:ascii="Poppins" w:hAnsi="Poppins"/>
          <w:color w:val="111111"/>
          <w:sz w:val="21"/>
          <w:szCs w:val="21"/>
        </w:rPr>
        <w:t>özlerdeki</w:t>
      </w:r>
      <w:r>
        <w:rPr>
          <w:rFonts w:ascii="Poppins" w:hAnsi="Poppins"/>
          <w:color w:val="111111"/>
          <w:sz w:val="21"/>
          <w:szCs w:val="21"/>
        </w:rPr>
        <w:t xml:space="preserve"> kelime sayıları, anahtar kelime sayıları, ifadelerin yabancı dildeki karşılıklarının doğruluğu, kaynakçanın kurallara uygunluğu vb. kontrol edilir.</w:t>
      </w:r>
    </w:p>
    <w:p w:rsidR="00BA73F5" w:rsidRDefault="00BA73F5" w:rsidP="00BA73F5">
      <w:pPr>
        <w:pStyle w:val="NormalWeb"/>
        <w:shd w:val="clear" w:color="auto" w:fill="FFFFFF"/>
        <w:spacing w:before="0" w:beforeAutospacing="0"/>
        <w:ind w:left="1276" w:hanging="425"/>
        <w:jc w:val="both"/>
        <w:rPr>
          <w:rFonts w:ascii="Poppins" w:hAnsi="Poppins"/>
          <w:color w:val="111111"/>
          <w:sz w:val="21"/>
          <w:szCs w:val="21"/>
        </w:rPr>
      </w:pPr>
    </w:p>
    <w:p w:rsidR="00BA73F5" w:rsidRPr="00010822" w:rsidRDefault="00BA73F5" w:rsidP="00BA73F5">
      <w:pPr>
        <w:pStyle w:val="NormalWeb"/>
        <w:numPr>
          <w:ilvl w:val="0"/>
          <w:numId w:val="12"/>
        </w:numPr>
        <w:shd w:val="clear" w:color="auto" w:fill="FFFFFF"/>
        <w:spacing w:before="0" w:beforeAutospacing="0"/>
        <w:ind w:left="1276" w:hanging="425"/>
        <w:jc w:val="both"/>
        <w:rPr>
          <w:rFonts w:ascii="Poppins" w:hAnsi="Poppins"/>
          <w:color w:val="111111"/>
          <w:sz w:val="21"/>
          <w:szCs w:val="21"/>
        </w:rPr>
      </w:pPr>
      <w:r>
        <w:rPr>
          <w:rFonts w:ascii="Poppins" w:hAnsi="Poppins"/>
          <w:b/>
          <w:bCs/>
          <w:color w:val="111111"/>
          <w:sz w:val="21"/>
          <w:szCs w:val="21"/>
        </w:rPr>
        <w:lastRenderedPageBreak/>
        <w:t>Makale Şablonuna Uygunluk:</w:t>
      </w:r>
      <w:r>
        <w:rPr>
          <w:rFonts w:ascii="Poppins" w:hAnsi="Poppins"/>
          <w:color w:val="111111"/>
          <w:sz w:val="21"/>
          <w:szCs w:val="21"/>
        </w:rPr>
        <w:t xml:space="preserve"> Makaleler hazırlanırken </w:t>
      </w:r>
      <w:proofErr w:type="spellStart"/>
      <w:r>
        <w:rPr>
          <w:rFonts w:ascii="Poppins" w:hAnsi="Poppins"/>
          <w:color w:val="111111"/>
          <w:sz w:val="21"/>
          <w:szCs w:val="21"/>
        </w:rPr>
        <w:t>DergiPark</w:t>
      </w:r>
      <w:proofErr w:type="spellEnd"/>
      <w:r>
        <w:rPr>
          <w:rFonts w:ascii="Poppins" w:hAnsi="Poppins"/>
          <w:color w:val="111111"/>
          <w:sz w:val="21"/>
          <w:szCs w:val="21"/>
        </w:rPr>
        <w:t xml:space="preserve"> MED sayfasındaki makale şablonu kullanılmalıdır. Yayın değerlendirme sürecinde makalenin şablon özelliklerine uygun olup olmadığına bakılır.</w:t>
      </w:r>
    </w:p>
    <w:p w:rsidR="00BA73F5" w:rsidRPr="00010822" w:rsidRDefault="00BA73F5" w:rsidP="00BA73F5">
      <w:pPr>
        <w:pStyle w:val="NormalWeb"/>
        <w:numPr>
          <w:ilvl w:val="0"/>
          <w:numId w:val="12"/>
        </w:numPr>
        <w:shd w:val="clear" w:color="auto" w:fill="FFFFFF"/>
        <w:spacing w:before="240" w:beforeAutospacing="0"/>
        <w:ind w:left="1276" w:hanging="425"/>
        <w:jc w:val="both"/>
        <w:rPr>
          <w:rFonts w:ascii="Poppins" w:hAnsi="Poppins"/>
          <w:color w:val="111111"/>
          <w:sz w:val="21"/>
          <w:szCs w:val="21"/>
        </w:rPr>
      </w:pPr>
      <w:r>
        <w:rPr>
          <w:rFonts w:ascii="Poppins" w:hAnsi="Poppins"/>
          <w:b/>
          <w:bCs/>
          <w:color w:val="111111"/>
          <w:sz w:val="21"/>
          <w:szCs w:val="21"/>
        </w:rPr>
        <w:t xml:space="preserve">Derginin Kapsamına ve Bilimsel Gerekliliklere Uygunluk: </w:t>
      </w:r>
      <w:r>
        <w:rPr>
          <w:rFonts w:ascii="Poppins" w:hAnsi="Poppins"/>
          <w:color w:val="111111"/>
          <w:sz w:val="21"/>
          <w:szCs w:val="21"/>
        </w:rPr>
        <w:t>Güncel eğitim uygulamalarına dönüklüğü; amaç, yöntem ve sonuç gibi temel bilimsel özellikleri taşıyıp taşımadığı, yapılan araştırmalardaki örneklemin nitelik ve niceliği, araştırma konusunun güncel olup olmadığı, sonuç ve önerilerin eğitime katkı sağlayıp sağlamadığı vb. hususlar incelenir.</w:t>
      </w:r>
    </w:p>
    <w:p w:rsidR="00BA73F5" w:rsidRDefault="00BA73F5" w:rsidP="00BA73F5">
      <w:pPr>
        <w:pStyle w:val="NormalWeb"/>
        <w:numPr>
          <w:ilvl w:val="0"/>
          <w:numId w:val="12"/>
        </w:numPr>
        <w:shd w:val="clear" w:color="auto" w:fill="FFFFFF"/>
        <w:spacing w:before="240" w:beforeAutospacing="0"/>
        <w:ind w:left="1276" w:hanging="425"/>
        <w:jc w:val="both"/>
        <w:rPr>
          <w:rFonts w:ascii="Poppins" w:hAnsi="Poppins"/>
          <w:color w:val="111111"/>
          <w:sz w:val="21"/>
          <w:szCs w:val="21"/>
        </w:rPr>
      </w:pPr>
      <w:r>
        <w:rPr>
          <w:rFonts w:ascii="Poppins" w:hAnsi="Poppins"/>
          <w:b/>
          <w:bCs/>
          <w:color w:val="111111"/>
          <w:sz w:val="21"/>
          <w:szCs w:val="21"/>
        </w:rPr>
        <w:t xml:space="preserve">Yasal ve Etik Açıdan Uygunluk: </w:t>
      </w:r>
      <w:r>
        <w:rPr>
          <w:rFonts w:ascii="Poppins" w:hAnsi="Poppins"/>
          <w:color w:val="111111"/>
          <w:sz w:val="21"/>
          <w:szCs w:val="21"/>
        </w:rPr>
        <w:t>Makalede fikir, eleştiri ve öneriler yer alabilir. Ancak bu fikir ve eleştirilerin yasal açıdan suç oluşturmaması, etik kuralları ihlal etmemesi, kişi ve kurumların saygınlığını zedelememesi gerekmektedir.</w:t>
      </w:r>
    </w:p>
    <w:p w:rsidR="00BA73F5" w:rsidRDefault="00BA73F5" w:rsidP="00BA73F5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b/>
          <w:i/>
        </w:rPr>
      </w:pPr>
      <w:r w:rsidRPr="00010822">
        <w:rPr>
          <w:rFonts w:ascii="Times New Roman" w:hAnsi="Times New Roman" w:cs="Times New Roman"/>
          <w:b/>
          <w:i/>
        </w:rPr>
        <w:t>Makalelerin Editörlük Süreçlerinin Yürütülmesi</w:t>
      </w:r>
    </w:p>
    <w:p w:rsidR="00BA73F5" w:rsidRDefault="00BA73F5" w:rsidP="00BA73F5">
      <w:pPr>
        <w:pStyle w:val="ListeParagraf"/>
        <w:rPr>
          <w:rFonts w:ascii="Times New Roman" w:hAnsi="Times New Roman" w:cs="Times New Roman"/>
        </w:rPr>
      </w:pPr>
    </w:p>
    <w:p w:rsidR="00BA73F5" w:rsidRPr="00010822" w:rsidRDefault="00BA73F5" w:rsidP="00BA73F5">
      <w:pPr>
        <w:pStyle w:val="ListeParagraf"/>
        <w:numPr>
          <w:ilvl w:val="0"/>
          <w:numId w:val="15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Ön incelemesi tamamlanmış olan makalenin </w:t>
      </w:r>
      <w:r>
        <w:rPr>
          <w:rFonts w:ascii="Poppins" w:hAnsi="Poppins"/>
          <w:color w:val="111111"/>
          <w:sz w:val="21"/>
          <w:szCs w:val="21"/>
          <w:shd w:val="clear" w:color="auto" w:fill="FFFFFF"/>
        </w:rPr>
        <w:t xml:space="preserve">alanında ortaya koyduğu eser ve çalışmalarıyla tanınmış en az iki hakeme gönderilir. </w:t>
      </w:r>
    </w:p>
    <w:p w:rsidR="00BA73F5" w:rsidRPr="00010822" w:rsidRDefault="00BA73F5" w:rsidP="00BA73F5">
      <w:pPr>
        <w:pStyle w:val="ListeParagraf"/>
        <w:numPr>
          <w:ilvl w:val="0"/>
          <w:numId w:val="15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Poppins" w:hAnsi="Poppins"/>
          <w:color w:val="111111"/>
          <w:sz w:val="21"/>
          <w:szCs w:val="21"/>
          <w:shd w:val="clear" w:color="auto" w:fill="FFFFFF"/>
        </w:rPr>
        <w:t>Kararlarda bir kabul bir ret çıkması durumunda üçüncü hakem görüşüne başvurulur. Çalışma hakkında iki olumlu ya da iki olumsuz rapor alınıncaya kadar hakemlik süreci yürütülür. </w:t>
      </w:r>
    </w:p>
    <w:p w:rsidR="00BA73F5" w:rsidRDefault="00BA73F5" w:rsidP="00BA73F5">
      <w:pPr>
        <w:pStyle w:val="ListeParagraf"/>
        <w:numPr>
          <w:ilvl w:val="0"/>
          <w:numId w:val="15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Çalışma hakkında hakem g</w:t>
      </w:r>
      <w:r w:rsidR="00C941DC">
        <w:rPr>
          <w:rFonts w:ascii="Times New Roman" w:hAnsi="Times New Roman" w:cs="Times New Roman"/>
        </w:rPr>
        <w:t>örüşleri doğrultusunda kabul/ret</w:t>
      </w:r>
      <w:r>
        <w:rPr>
          <w:rFonts w:ascii="Times New Roman" w:hAnsi="Times New Roman" w:cs="Times New Roman"/>
        </w:rPr>
        <w:t xml:space="preserve">/majör </w:t>
      </w:r>
      <w:proofErr w:type="gramStart"/>
      <w:r>
        <w:rPr>
          <w:rFonts w:ascii="Times New Roman" w:hAnsi="Times New Roman" w:cs="Times New Roman"/>
        </w:rPr>
        <w:t>revizyon</w:t>
      </w:r>
      <w:proofErr w:type="gramEnd"/>
      <w:r>
        <w:rPr>
          <w:rFonts w:ascii="Times New Roman" w:hAnsi="Times New Roman" w:cs="Times New Roman"/>
        </w:rPr>
        <w:t xml:space="preserve">/minör revizyon kararı alınır. </w:t>
      </w:r>
    </w:p>
    <w:p w:rsidR="00BA73F5" w:rsidRDefault="00BA73F5" w:rsidP="00BA73F5">
      <w:pPr>
        <w:pStyle w:val="ListeParagraf"/>
        <w:numPr>
          <w:ilvl w:val="0"/>
          <w:numId w:val="15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İlgili çalışmaya dair karar yazara gönderilir. </w:t>
      </w:r>
    </w:p>
    <w:p w:rsidR="00BA73F5" w:rsidRDefault="00BA73F5" w:rsidP="00BA73F5">
      <w:pPr>
        <w:pStyle w:val="ListeParagraf"/>
        <w:numPr>
          <w:ilvl w:val="0"/>
          <w:numId w:val="15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Hakem değerlendirme raporunda ve hakem süreç dosyasında belirtilen, hakemler ve editör tarafından gerekli görülen </w:t>
      </w:r>
      <w:proofErr w:type="gramStart"/>
      <w:r>
        <w:rPr>
          <w:rFonts w:ascii="Times New Roman" w:hAnsi="Times New Roman" w:cs="Times New Roman"/>
        </w:rPr>
        <w:t>revizyonların</w:t>
      </w:r>
      <w:proofErr w:type="gramEnd"/>
      <w:r>
        <w:rPr>
          <w:rFonts w:ascii="Times New Roman" w:hAnsi="Times New Roman" w:cs="Times New Roman"/>
        </w:rPr>
        <w:t xml:space="preserve"> yazar tarafından gerçekleştirilme durumunu kontrol edilir.</w:t>
      </w:r>
    </w:p>
    <w:p w:rsidR="00BA73F5" w:rsidRDefault="00BA73F5" w:rsidP="00BA73F5">
      <w:pPr>
        <w:pStyle w:val="ListeParagraf"/>
        <w:numPr>
          <w:ilvl w:val="0"/>
          <w:numId w:val="15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Makalenin yayım sürecine alınması için son okuması gerçekleştirilir.</w:t>
      </w:r>
    </w:p>
    <w:p w:rsidR="00BA73F5" w:rsidRDefault="00BA73F5" w:rsidP="00BA73F5">
      <w:pPr>
        <w:pStyle w:val="ListeParagraf"/>
        <w:numPr>
          <w:ilvl w:val="0"/>
          <w:numId w:val="15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Makale dil editörüne gönderilir, dil ve anlatım kontrolünün gerçekleştirilmesi sağlanır.  </w:t>
      </w:r>
    </w:p>
    <w:p w:rsidR="00BA73F5" w:rsidRPr="00010822" w:rsidRDefault="00AA6170" w:rsidP="00BA73F5">
      <w:pPr>
        <w:pStyle w:val="ListeParagraf"/>
        <w:numPr>
          <w:ilvl w:val="0"/>
          <w:numId w:val="15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Nihai hâ</w:t>
      </w:r>
      <w:r w:rsidR="00BA73F5">
        <w:rPr>
          <w:rFonts w:ascii="Times New Roman" w:hAnsi="Times New Roman" w:cs="Times New Roman"/>
        </w:rPr>
        <w:t xml:space="preserve">li verilen makale yayım sürecine alınır ve DOI numarasını verilir. </w:t>
      </w:r>
    </w:p>
    <w:p w:rsidR="00BA73F5" w:rsidRDefault="00BA73F5" w:rsidP="00BA73F5">
      <w:pPr>
        <w:rPr>
          <w:rFonts w:ascii="Times New Roman" w:hAnsi="Times New Roman" w:cs="Times New Roman"/>
        </w:rPr>
      </w:pPr>
    </w:p>
    <w:p w:rsidR="00BA73F5" w:rsidRDefault="00BA73F5" w:rsidP="00BA73F5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b/>
          <w:i/>
        </w:rPr>
      </w:pPr>
      <w:r w:rsidRPr="00212DB9">
        <w:rPr>
          <w:rFonts w:ascii="Times New Roman" w:hAnsi="Times New Roman" w:cs="Times New Roman"/>
          <w:b/>
          <w:i/>
        </w:rPr>
        <w:t>Dergi Sayısının Yayımlanması</w:t>
      </w:r>
    </w:p>
    <w:p w:rsidR="00BA73F5" w:rsidRDefault="00BA73F5" w:rsidP="00BA73F5">
      <w:pPr>
        <w:pStyle w:val="ListeParagraf"/>
        <w:rPr>
          <w:rFonts w:ascii="Times New Roman" w:hAnsi="Times New Roman" w:cs="Times New Roman"/>
          <w:b/>
          <w:i/>
        </w:rPr>
      </w:pPr>
    </w:p>
    <w:p w:rsidR="00BA73F5" w:rsidRDefault="00AA6170" w:rsidP="00BA73F5">
      <w:pPr>
        <w:pStyle w:val="ListeParagraf"/>
        <w:numPr>
          <w:ilvl w:val="0"/>
          <w:numId w:val="16"/>
        </w:numPr>
        <w:ind w:left="127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Sayıda yayım</w:t>
      </w:r>
      <w:r w:rsidR="00BA73F5">
        <w:rPr>
          <w:rFonts w:ascii="Times New Roman" w:hAnsi="Times New Roman" w:cs="Times New Roman"/>
        </w:rPr>
        <w:t>lanan makalenin dizgisi gerçekleştirilir.</w:t>
      </w:r>
    </w:p>
    <w:p w:rsidR="00BA73F5" w:rsidRDefault="00AA6170" w:rsidP="00BA73F5">
      <w:pPr>
        <w:pStyle w:val="ListeParagraf"/>
        <w:numPr>
          <w:ilvl w:val="0"/>
          <w:numId w:val="16"/>
        </w:numPr>
        <w:ind w:left="127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Yayıma hazır hâ</w:t>
      </w:r>
      <w:r w:rsidR="00BA73F5">
        <w:rPr>
          <w:rFonts w:ascii="Times New Roman" w:hAnsi="Times New Roman" w:cs="Times New Roman"/>
        </w:rPr>
        <w:t>le getirilen makaleler ayrı PDF dosyaları şeklinde hazırlanır.</w:t>
      </w:r>
    </w:p>
    <w:p w:rsidR="00BA73F5" w:rsidRPr="00A27AEB" w:rsidRDefault="00BA73F5" w:rsidP="00BA73F5">
      <w:pPr>
        <w:pStyle w:val="ListeParagraf"/>
        <w:numPr>
          <w:ilvl w:val="0"/>
          <w:numId w:val="16"/>
        </w:numPr>
        <w:ind w:left="1276" w:hanging="425"/>
        <w:rPr>
          <w:rFonts w:ascii="Times New Roman" w:hAnsi="Times New Roman" w:cs="Times New Roman"/>
        </w:rPr>
      </w:pPr>
      <w:proofErr w:type="spellStart"/>
      <w:r w:rsidRPr="00A27AEB">
        <w:rPr>
          <w:rFonts w:ascii="Times New Roman" w:hAnsi="Times New Roman" w:cs="Times New Roman"/>
        </w:rPr>
        <w:t>DergiPark</w:t>
      </w:r>
      <w:proofErr w:type="spellEnd"/>
      <w:r w:rsidRPr="00A27AEB">
        <w:rPr>
          <w:rFonts w:ascii="Times New Roman" w:hAnsi="Times New Roman" w:cs="Times New Roman"/>
        </w:rPr>
        <w:t xml:space="preserve"> si</w:t>
      </w:r>
      <w:r>
        <w:rPr>
          <w:rFonts w:ascii="Times New Roman" w:hAnsi="Times New Roman" w:cs="Times New Roman"/>
        </w:rPr>
        <w:t>steminden yeni sayı oluşturulur ve makaleler yüklenir.</w:t>
      </w:r>
    </w:p>
    <w:p w:rsidR="00BA73F5" w:rsidRDefault="00BA73F5" w:rsidP="00BA73F5">
      <w:pPr>
        <w:pStyle w:val="ListeParagraf"/>
        <w:numPr>
          <w:ilvl w:val="0"/>
          <w:numId w:val="16"/>
        </w:numPr>
        <w:ind w:left="127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Derginin yayım tarihlerinde (1 Şubat, 1 Mayıs, 1 Ağustos ve 1 Kasım) ilgili sayı </w:t>
      </w:r>
      <w:proofErr w:type="spellStart"/>
      <w:r>
        <w:rPr>
          <w:rFonts w:ascii="Times New Roman" w:hAnsi="Times New Roman" w:cs="Times New Roman"/>
        </w:rPr>
        <w:t>DergiPark</w:t>
      </w:r>
      <w:proofErr w:type="spellEnd"/>
      <w:r>
        <w:rPr>
          <w:rFonts w:ascii="Times New Roman" w:hAnsi="Times New Roman" w:cs="Times New Roman"/>
        </w:rPr>
        <w:t xml:space="preserve"> sisteminde güncel sayı olarak yayımlanır. </w:t>
      </w:r>
    </w:p>
    <w:p w:rsidR="00BA73F5" w:rsidRDefault="00BA73F5" w:rsidP="00BA73F5">
      <w:pPr>
        <w:pStyle w:val="ListeParagraf"/>
        <w:numPr>
          <w:ilvl w:val="0"/>
          <w:numId w:val="16"/>
        </w:numPr>
        <w:ind w:left="1276" w:hanging="42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DergiPark</w:t>
      </w:r>
      <w:proofErr w:type="spellEnd"/>
      <w:r>
        <w:rPr>
          <w:rFonts w:ascii="Times New Roman" w:hAnsi="Times New Roman" w:cs="Times New Roman"/>
        </w:rPr>
        <w:t xml:space="preserve"> sistemindeki güncel sayı 5 gün içerisinde </w:t>
      </w:r>
      <w:proofErr w:type="spellStart"/>
      <w:r>
        <w:rPr>
          <w:rFonts w:ascii="Times New Roman" w:hAnsi="Times New Roman" w:cs="Times New Roman"/>
        </w:rPr>
        <w:t>TRDizin</w:t>
      </w:r>
      <w:proofErr w:type="spellEnd"/>
      <w:r>
        <w:rPr>
          <w:rFonts w:ascii="Times New Roman" w:hAnsi="Times New Roman" w:cs="Times New Roman"/>
        </w:rPr>
        <w:t xml:space="preserve"> ve EBSCO indekslerine yüklenir. </w:t>
      </w:r>
    </w:p>
    <w:p w:rsidR="00BA73F5" w:rsidRDefault="00BA73F5" w:rsidP="00BA73F5">
      <w:pPr>
        <w:pStyle w:val="ListeParagraf"/>
        <w:ind w:left="1276"/>
        <w:rPr>
          <w:rFonts w:ascii="Times New Roman" w:hAnsi="Times New Roman" w:cs="Times New Roman"/>
        </w:rPr>
      </w:pPr>
    </w:p>
    <w:p w:rsidR="00BA73F5" w:rsidRDefault="00AA6170" w:rsidP="00BA73F5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Resmî</w:t>
      </w:r>
      <w:r w:rsidR="00BA73F5" w:rsidRPr="006F46D5">
        <w:rPr>
          <w:rFonts w:ascii="Times New Roman" w:hAnsi="Times New Roman" w:cs="Times New Roman"/>
          <w:b/>
          <w:i/>
        </w:rPr>
        <w:t xml:space="preserve"> Yazışma İşlemlerinin Gerçekleştirilmesi</w:t>
      </w:r>
    </w:p>
    <w:p w:rsidR="00BA73F5" w:rsidRDefault="00BA73F5" w:rsidP="00BA73F5">
      <w:pPr>
        <w:pStyle w:val="ListeParagraf"/>
        <w:rPr>
          <w:rFonts w:ascii="Times New Roman" w:hAnsi="Times New Roman" w:cs="Times New Roman"/>
        </w:rPr>
      </w:pPr>
    </w:p>
    <w:p w:rsidR="00BA73F5" w:rsidRDefault="00BA73F5" w:rsidP="00BA73F5">
      <w:pPr>
        <w:pStyle w:val="ListeParagraf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Basımı yapılacak </w:t>
      </w:r>
      <w:r w:rsidRPr="00843BC0">
        <w:rPr>
          <w:rFonts w:ascii="Times New Roman" w:hAnsi="Times New Roman" w:cs="Times New Roman"/>
        </w:rPr>
        <w:t>güncel sayısının</w:t>
      </w:r>
      <w:r>
        <w:rPr>
          <w:rFonts w:ascii="Times New Roman" w:hAnsi="Times New Roman" w:cs="Times New Roman"/>
        </w:rPr>
        <w:t xml:space="preserve"> dağıtım listesi hazırlanır ve baskı yazısı Destek Hizmetleri Genel Müdürlüğüne gönderilir. </w:t>
      </w:r>
    </w:p>
    <w:p w:rsidR="00BA73F5" w:rsidRDefault="00BA73F5" w:rsidP="00BA73F5">
      <w:pPr>
        <w:pStyle w:val="ListeParagraf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Güncel sayıda görev almış olan hakemlerin inceleme ücretleri için hakem listesi ile birlikte incele</w:t>
      </w:r>
      <w:r w:rsidR="00AA6170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 ücreti yazısı Destek Hizmetleri Genel Müdürlüğüne gönderilir. </w:t>
      </w:r>
    </w:p>
    <w:p w:rsidR="00BA73F5" w:rsidRDefault="00BA73F5" w:rsidP="00BA73F5">
      <w:pPr>
        <w:pStyle w:val="ListeParagraf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Reddedilen ve yayıma alınmayan makalelerde görev almış olan hakemler için inceleme ücreti yazısı yılda bir veya iki defa olmak üzere Destek Hizmetleri Genel Müdürlüğüne gönderilir.</w:t>
      </w:r>
    </w:p>
    <w:p w:rsidR="00BA73F5" w:rsidRDefault="00BA73F5" w:rsidP="00BA73F5">
      <w:pPr>
        <w:pStyle w:val="ListeParagraf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DergiPark</w:t>
      </w:r>
      <w:proofErr w:type="spellEnd"/>
      <w:r>
        <w:rPr>
          <w:rFonts w:ascii="Times New Roman" w:hAnsi="Times New Roman" w:cs="Times New Roman"/>
        </w:rPr>
        <w:t xml:space="preserve"> sistemi üzerinden başvurusu yapılan makale sahiplerine başvuru ücretine dair fatura kesilebilmesi için gerekli bilgiler her hafta düzenli olmak üzere Destek Hizmetleri Genel Müdürlüğü Döner Sermaye İşletmesine e-posta yoluyla gönderilir. </w:t>
      </w:r>
    </w:p>
    <w:p w:rsidR="00BA73F5" w:rsidRPr="006F46D5" w:rsidRDefault="00BA73F5" w:rsidP="00BA73F5">
      <w:pPr>
        <w:pStyle w:val="ListeParagraf"/>
        <w:rPr>
          <w:rFonts w:ascii="Times New Roman" w:hAnsi="Times New Roman" w:cs="Times New Roman"/>
          <w:b/>
          <w:i/>
        </w:rPr>
      </w:pPr>
    </w:p>
    <w:p w:rsidR="00704FBC" w:rsidRPr="00BA73F5" w:rsidRDefault="00704FBC" w:rsidP="00BA73F5"/>
    <w:sectPr w:rsidR="00704FBC" w:rsidRPr="00BA73F5" w:rsidSect="00355D66">
      <w:headerReference w:type="default" r:id="rId7"/>
      <w:footerReference w:type="default" r:id="rId8"/>
      <w:pgSz w:w="11906" w:h="16838"/>
      <w:pgMar w:top="1418" w:right="1418" w:bottom="1418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82" w:rsidRDefault="00637282" w:rsidP="000E6C2B">
      <w:pPr>
        <w:spacing w:after="0" w:line="240" w:lineRule="auto"/>
      </w:pPr>
      <w:r>
        <w:separator/>
      </w:r>
    </w:p>
  </w:endnote>
  <w:endnote w:type="continuationSeparator" w:id="0">
    <w:p w:rsidR="00637282" w:rsidRDefault="00637282" w:rsidP="000E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0E6C2B" w:rsidTr="00DD1B93">
      <w:trPr>
        <w:trHeight w:val="283"/>
      </w:trPr>
      <w:tc>
        <w:tcPr>
          <w:tcW w:w="1006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0E6C2B" w:rsidRDefault="00D45E75" w:rsidP="00650300">
          <w:pPr>
            <w:pStyle w:val="AltBilgi"/>
            <w:spacing w:before="240" w:after="240"/>
            <w:rPr>
              <w:rFonts w:ascii="Times New Roman" w:hAnsi="Times New Roman"/>
              <w:i/>
              <w:sz w:val="18"/>
              <w:szCs w:val="18"/>
            </w:rPr>
          </w:pPr>
          <w:r>
            <w:rPr>
              <w:rFonts w:ascii="Times New Roman" w:hAnsi="Times New Roman"/>
              <w:i/>
              <w:sz w:val="18"/>
              <w:szCs w:val="18"/>
            </w:rPr>
            <w:t>Doküman No: P3.04</w:t>
          </w:r>
          <w:r w:rsidR="000E6C2B"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 w:rsidR="000E6C2B">
            <w:rPr>
              <w:rFonts w:ascii="Times New Roman" w:hAnsi="Times New Roman"/>
              <w:i/>
              <w:sz w:val="18"/>
              <w:szCs w:val="18"/>
            </w:rPr>
            <w:t xml:space="preserve">          İlk Yayın Tarihi:</w:t>
          </w:r>
          <w:r w:rsidR="00EE0299">
            <w:rPr>
              <w:i/>
              <w:sz w:val="18"/>
              <w:szCs w:val="18"/>
            </w:rPr>
            <w:t xml:space="preserve"> 08.10.2024</w:t>
          </w:r>
          <w:r w:rsidR="000E6C2B"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 w:rsidR="00E24012">
            <w:rPr>
              <w:rFonts w:ascii="Times New Roman" w:hAnsi="Times New Roman"/>
              <w:i/>
              <w:sz w:val="18"/>
              <w:szCs w:val="18"/>
            </w:rPr>
            <w:t xml:space="preserve">          Revizyon Tarihi</w:t>
          </w:r>
          <w:proofErr w:type="gramStart"/>
          <w:r w:rsidR="00E24012">
            <w:rPr>
              <w:rFonts w:ascii="Times New Roman" w:hAnsi="Times New Roman"/>
              <w:i/>
              <w:sz w:val="18"/>
              <w:szCs w:val="18"/>
            </w:rPr>
            <w:t>:</w:t>
          </w:r>
          <w:r w:rsidR="00B902AA" w:rsidRPr="0007467D">
            <w:rPr>
              <w:rFonts w:ascii="Times New Roman" w:hAnsi="Times New Roman" w:cs="Times New Roman"/>
              <w:i/>
              <w:sz w:val="18"/>
              <w:szCs w:val="18"/>
            </w:rPr>
            <w:t>;</w:t>
          </w:r>
          <w:proofErr w:type="gramEnd"/>
          <w:r w:rsidR="00650300">
            <w:rPr>
              <w:rFonts w:ascii="Times New Roman" w:hAnsi="Times New Roman"/>
              <w:i/>
              <w:sz w:val="18"/>
              <w:szCs w:val="18"/>
            </w:rPr>
            <w:t xml:space="preserve">          Revizyon No:</w:t>
          </w:r>
          <w:r w:rsidR="00EE0299">
            <w:rPr>
              <w:rFonts w:ascii="Times New Roman" w:hAnsi="Times New Roman"/>
              <w:i/>
              <w:sz w:val="18"/>
              <w:szCs w:val="18"/>
            </w:rPr>
            <w:t>00</w:t>
          </w:r>
          <w:r w:rsidR="00650300"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="000E6C2B">
            <w:rPr>
              <w:rFonts w:ascii="Times New Roman" w:hAnsi="Times New Roman"/>
              <w:i/>
              <w:sz w:val="18"/>
              <w:szCs w:val="18"/>
            </w:rPr>
            <w:t xml:space="preserve">;          Sayfa: </w:t>
          </w:r>
          <w:r w:rsidR="000E6C2B" w:rsidRPr="00AC2FF7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="000E6C2B" w:rsidRPr="00AC2FF7">
            <w:rPr>
              <w:rFonts w:ascii="Times New Roman" w:hAnsi="Times New Roman"/>
              <w:i/>
              <w:sz w:val="18"/>
              <w:szCs w:val="18"/>
            </w:rPr>
            <w:instrText>PAGE   \* MERGEFORMAT</w:instrText>
          </w:r>
          <w:r w:rsidR="000E6C2B" w:rsidRPr="00AC2FF7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1030ED">
            <w:rPr>
              <w:rFonts w:ascii="Times New Roman" w:hAnsi="Times New Roman"/>
              <w:i/>
              <w:noProof/>
              <w:sz w:val="18"/>
              <w:szCs w:val="18"/>
            </w:rPr>
            <w:t>3</w:t>
          </w:r>
          <w:r w:rsidR="000E6C2B" w:rsidRPr="00AC2FF7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 w:rsidR="000E6C2B">
            <w:rPr>
              <w:rFonts w:ascii="Times New Roman" w:hAnsi="Times New Roman"/>
              <w:i/>
              <w:sz w:val="18"/>
              <w:szCs w:val="18"/>
            </w:rPr>
            <w:t>/</w:t>
          </w:r>
          <w:r w:rsidR="000E6C2B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="000E6C2B">
            <w:rPr>
              <w:rFonts w:ascii="Times New Roman" w:hAnsi="Times New Roman"/>
              <w:i/>
              <w:sz w:val="18"/>
              <w:szCs w:val="18"/>
            </w:rPr>
            <w:instrText xml:space="preserve"> NUMPAGES  \* Arabic  \* MERGEFORMAT </w:instrText>
          </w:r>
          <w:r w:rsidR="000E6C2B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1030ED">
            <w:rPr>
              <w:rFonts w:ascii="Times New Roman" w:hAnsi="Times New Roman"/>
              <w:i/>
              <w:noProof/>
              <w:sz w:val="18"/>
              <w:szCs w:val="18"/>
            </w:rPr>
            <w:t>3</w:t>
          </w:r>
          <w:r w:rsidR="000E6C2B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 w:rsidR="00DD1B93" w:rsidRPr="00DD1B93">
            <w:rPr>
              <w:rFonts w:ascii="Times New Roman" w:hAnsi="Times New Roman"/>
              <w:i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9667875</wp:posOffset>
                </wp:positionV>
                <wp:extent cx="542925" cy="557530"/>
                <wp:effectExtent l="0" t="0" r="9525" b="0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57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D1B93" w:rsidRPr="00DD1B93">
            <w:rPr>
              <w:rFonts w:ascii="Times New Roman" w:hAnsi="Times New Roman"/>
              <w:i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9686925</wp:posOffset>
                </wp:positionV>
                <wp:extent cx="518795" cy="53340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D1B93" w:rsidRPr="00DD1B93">
            <w:rPr>
              <w:rFonts w:ascii="Times New Roman" w:hAnsi="Times New Roman"/>
              <w:i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9648825</wp:posOffset>
                </wp:positionV>
                <wp:extent cx="561975" cy="577215"/>
                <wp:effectExtent l="0" t="0" r="952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77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0E6C2B" w:rsidRDefault="00E02D15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5891530</wp:posOffset>
          </wp:positionH>
          <wp:positionV relativeFrom="paragraph">
            <wp:posOffset>-438784</wp:posOffset>
          </wp:positionV>
          <wp:extent cx="485775" cy="438150"/>
          <wp:effectExtent l="0" t="0" r="9525" b="0"/>
          <wp:wrapNone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82" w:rsidRDefault="00637282" w:rsidP="000E6C2B">
      <w:pPr>
        <w:spacing w:after="0" w:line="240" w:lineRule="auto"/>
      </w:pPr>
      <w:r>
        <w:separator/>
      </w:r>
    </w:p>
  </w:footnote>
  <w:footnote w:type="continuationSeparator" w:id="0">
    <w:p w:rsidR="00637282" w:rsidRDefault="00637282" w:rsidP="000E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0E6C2B" w:rsidRPr="005E2C81" w:rsidTr="00707D44">
      <w:trPr>
        <w:trHeight w:val="1838"/>
      </w:trPr>
      <w:tc>
        <w:tcPr>
          <w:tcW w:w="1698" w:type="dxa"/>
          <w:vAlign w:val="center"/>
        </w:tcPr>
        <w:p w:rsidR="000E6C2B" w:rsidRPr="005E2C81" w:rsidRDefault="000E6C2B" w:rsidP="000E6C2B">
          <w:pPr>
            <w:tabs>
              <w:tab w:val="center" w:pos="4536"/>
              <w:tab w:val="right" w:pos="9072"/>
            </w:tabs>
            <w:jc w:val="center"/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6B038362" wp14:editId="00D4477B">
                <wp:extent cx="876300" cy="908050"/>
                <wp:effectExtent l="0" t="0" r="0" b="635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400" cy="91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:rsidR="000E6C2B" w:rsidRDefault="000E6C2B" w:rsidP="000E6C2B">
          <w:pPr>
            <w:spacing w:after="0" w:line="276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061B92">
            <w:rPr>
              <w:rFonts w:ascii="Times New Roman" w:hAnsi="Times New Roman"/>
              <w:b/>
              <w:sz w:val="32"/>
              <w:szCs w:val="32"/>
            </w:rPr>
            <w:t>TALİM VE TERBİYE KURULU BAŞKANLIĞI</w:t>
          </w:r>
        </w:p>
        <w:p w:rsidR="000E6C2B" w:rsidRDefault="000E6C2B" w:rsidP="000E6C2B">
          <w:pPr>
            <w:spacing w:after="0"/>
            <w:jc w:val="center"/>
            <w:rPr>
              <w:rFonts w:ascii="Times New Roman" w:hAnsi="Times New Roman"/>
              <w:szCs w:val="24"/>
            </w:rPr>
          </w:pPr>
          <w:r w:rsidRPr="00866EE0">
            <w:rPr>
              <w:rFonts w:ascii="Times New Roman" w:hAnsi="Times New Roman"/>
              <w:szCs w:val="24"/>
            </w:rPr>
            <w:t>(EĞİTİM ARAŞTIRMALARI DAİRE BAŞKANLIĞI)</w:t>
          </w:r>
        </w:p>
        <w:p w:rsidR="000E6C2B" w:rsidRPr="003938DB" w:rsidRDefault="000E6C2B" w:rsidP="000E6C2B">
          <w:pPr>
            <w:spacing w:after="0"/>
            <w:jc w:val="center"/>
            <w:rPr>
              <w:rFonts w:ascii="Times New Roman" w:hAnsi="Times New Roman"/>
              <w:b/>
              <w:szCs w:val="24"/>
            </w:rPr>
          </w:pPr>
        </w:p>
        <w:p w:rsidR="000E6C2B" w:rsidRPr="004A3C9C" w:rsidRDefault="001C3ADC" w:rsidP="00BA73F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C3ADC">
            <w:rPr>
              <w:rFonts w:ascii="Times New Roman" w:hAnsi="Times New Roman"/>
              <w:b/>
              <w:sz w:val="28"/>
              <w:szCs w:val="28"/>
            </w:rPr>
            <w:t xml:space="preserve">MİLLÎ EĞİTİM DERGİSİ </w:t>
          </w:r>
          <w:r w:rsidR="00BA73F5">
            <w:rPr>
              <w:rFonts w:ascii="Times New Roman" w:hAnsi="Times New Roman"/>
              <w:b/>
              <w:sz w:val="28"/>
              <w:szCs w:val="28"/>
            </w:rPr>
            <w:t>PROSEDÜRÜ</w:t>
          </w:r>
        </w:p>
      </w:tc>
      <w:tc>
        <w:tcPr>
          <w:tcW w:w="1839" w:type="dxa"/>
          <w:vAlign w:val="center"/>
        </w:tcPr>
        <w:p w:rsidR="000E6C2B" w:rsidRPr="005E2C81" w:rsidRDefault="000E6C2B" w:rsidP="000E6C2B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AC6FD57" wp14:editId="6EF1F3A1">
                <wp:simplePos x="0" y="0"/>
                <wp:positionH relativeFrom="column">
                  <wp:posOffset>95885</wp:posOffset>
                </wp:positionH>
                <wp:positionV relativeFrom="paragraph">
                  <wp:posOffset>-27940</wp:posOffset>
                </wp:positionV>
                <wp:extent cx="875665" cy="908685"/>
                <wp:effectExtent l="0" t="0" r="635" b="5715"/>
                <wp:wrapNone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E6C2B" w:rsidRDefault="000E6C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E6E"/>
    <w:multiLevelType w:val="hybridMultilevel"/>
    <w:tmpl w:val="90C6988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F620F2"/>
    <w:multiLevelType w:val="hybridMultilevel"/>
    <w:tmpl w:val="3F1204B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757B5B"/>
    <w:multiLevelType w:val="hybridMultilevel"/>
    <w:tmpl w:val="33325A9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hd w:val="clear" w:color="auto" w:fil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972"/>
    <w:multiLevelType w:val="hybridMultilevel"/>
    <w:tmpl w:val="57C8E7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27E0"/>
    <w:multiLevelType w:val="multilevel"/>
    <w:tmpl w:val="9F6689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88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color w:val="000000"/>
      </w:rPr>
    </w:lvl>
  </w:abstractNum>
  <w:abstractNum w:abstractNumId="5" w15:restartNumberingAfterBreak="0">
    <w:nsid w:val="231F0BE4"/>
    <w:multiLevelType w:val="hybridMultilevel"/>
    <w:tmpl w:val="A28A323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9068EA"/>
    <w:multiLevelType w:val="hybridMultilevel"/>
    <w:tmpl w:val="606A27C4"/>
    <w:lvl w:ilvl="0" w:tplc="18BE943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6E72C1C"/>
    <w:multiLevelType w:val="hybridMultilevel"/>
    <w:tmpl w:val="AD447908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056633"/>
    <w:multiLevelType w:val="hybridMultilevel"/>
    <w:tmpl w:val="80C0A5A0"/>
    <w:lvl w:ilvl="0" w:tplc="3AE005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34BBE"/>
    <w:multiLevelType w:val="hybridMultilevel"/>
    <w:tmpl w:val="EA986640"/>
    <w:lvl w:ilvl="0" w:tplc="003AEACE">
      <w:start w:val="1"/>
      <w:numFmt w:val="decimal"/>
      <w:lvlText w:val="%1."/>
      <w:lvlJc w:val="left"/>
      <w:pPr>
        <w:ind w:left="360" w:hanging="360"/>
      </w:pPr>
      <w:rPr>
        <w:b w:val="0"/>
        <w:shd w:val="clear" w:color="auto" w:fil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B2B0B"/>
    <w:multiLevelType w:val="hybridMultilevel"/>
    <w:tmpl w:val="EA183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268AF"/>
    <w:multiLevelType w:val="hybridMultilevel"/>
    <w:tmpl w:val="7C36A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1170E"/>
    <w:multiLevelType w:val="hybridMultilevel"/>
    <w:tmpl w:val="72ACD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821B9"/>
    <w:multiLevelType w:val="hybridMultilevel"/>
    <w:tmpl w:val="C72A14F2"/>
    <w:lvl w:ilvl="0" w:tplc="041F000F">
      <w:start w:val="1"/>
      <w:numFmt w:val="decimal"/>
      <w:lvlText w:val="%1."/>
      <w:lvlJc w:val="left"/>
      <w:pPr>
        <w:ind w:left="1496" w:hanging="360"/>
      </w:pPr>
    </w:lvl>
    <w:lvl w:ilvl="1" w:tplc="041F0019" w:tentative="1">
      <w:start w:val="1"/>
      <w:numFmt w:val="lowerLetter"/>
      <w:lvlText w:val="%2."/>
      <w:lvlJc w:val="left"/>
      <w:pPr>
        <w:ind w:left="2216" w:hanging="360"/>
      </w:pPr>
    </w:lvl>
    <w:lvl w:ilvl="2" w:tplc="041F001B" w:tentative="1">
      <w:start w:val="1"/>
      <w:numFmt w:val="lowerRoman"/>
      <w:lvlText w:val="%3."/>
      <w:lvlJc w:val="right"/>
      <w:pPr>
        <w:ind w:left="2936" w:hanging="180"/>
      </w:pPr>
    </w:lvl>
    <w:lvl w:ilvl="3" w:tplc="041F000F" w:tentative="1">
      <w:start w:val="1"/>
      <w:numFmt w:val="decimal"/>
      <w:lvlText w:val="%4."/>
      <w:lvlJc w:val="left"/>
      <w:pPr>
        <w:ind w:left="3656" w:hanging="360"/>
      </w:pPr>
    </w:lvl>
    <w:lvl w:ilvl="4" w:tplc="041F0019" w:tentative="1">
      <w:start w:val="1"/>
      <w:numFmt w:val="lowerLetter"/>
      <w:lvlText w:val="%5."/>
      <w:lvlJc w:val="left"/>
      <w:pPr>
        <w:ind w:left="4376" w:hanging="360"/>
      </w:pPr>
    </w:lvl>
    <w:lvl w:ilvl="5" w:tplc="041F001B" w:tentative="1">
      <w:start w:val="1"/>
      <w:numFmt w:val="lowerRoman"/>
      <w:lvlText w:val="%6."/>
      <w:lvlJc w:val="right"/>
      <w:pPr>
        <w:ind w:left="5096" w:hanging="180"/>
      </w:pPr>
    </w:lvl>
    <w:lvl w:ilvl="6" w:tplc="041F000F" w:tentative="1">
      <w:start w:val="1"/>
      <w:numFmt w:val="decimal"/>
      <w:lvlText w:val="%7."/>
      <w:lvlJc w:val="left"/>
      <w:pPr>
        <w:ind w:left="5816" w:hanging="360"/>
      </w:pPr>
    </w:lvl>
    <w:lvl w:ilvl="7" w:tplc="041F0019" w:tentative="1">
      <w:start w:val="1"/>
      <w:numFmt w:val="lowerLetter"/>
      <w:lvlText w:val="%8."/>
      <w:lvlJc w:val="left"/>
      <w:pPr>
        <w:ind w:left="6536" w:hanging="360"/>
      </w:pPr>
    </w:lvl>
    <w:lvl w:ilvl="8" w:tplc="041F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4" w15:restartNumberingAfterBreak="0">
    <w:nsid w:val="69547A38"/>
    <w:multiLevelType w:val="hybridMultilevel"/>
    <w:tmpl w:val="FAF4ECC2"/>
    <w:lvl w:ilvl="0" w:tplc="E81287FA">
      <w:numFmt w:val="bullet"/>
      <w:lvlText w:val="-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6D8D0CB8"/>
    <w:multiLevelType w:val="hybridMultilevel"/>
    <w:tmpl w:val="AA7A8ECA"/>
    <w:lvl w:ilvl="0" w:tplc="5FB647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5258B"/>
    <w:multiLevelType w:val="hybridMultilevel"/>
    <w:tmpl w:val="16BA48E4"/>
    <w:lvl w:ilvl="0" w:tplc="041F000F">
      <w:start w:val="1"/>
      <w:numFmt w:val="decimal"/>
      <w:lvlText w:val="%1."/>
      <w:lvlJc w:val="left"/>
      <w:pPr>
        <w:ind w:left="1140" w:hanging="360"/>
      </w:p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6"/>
  </w:num>
  <w:num w:numId="13">
    <w:abstractNumId w:val="14"/>
  </w:num>
  <w:num w:numId="14">
    <w:abstractNumId w:val="15"/>
  </w:num>
  <w:num w:numId="15">
    <w:abstractNumId w:val="1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2B"/>
    <w:rsid w:val="0007467D"/>
    <w:rsid w:val="000B1FDE"/>
    <w:rsid w:val="000C57EB"/>
    <w:rsid w:val="000D61DB"/>
    <w:rsid w:val="000E6C2B"/>
    <w:rsid w:val="000F05D4"/>
    <w:rsid w:val="001025B8"/>
    <w:rsid w:val="001030ED"/>
    <w:rsid w:val="00114D82"/>
    <w:rsid w:val="001210F3"/>
    <w:rsid w:val="00166968"/>
    <w:rsid w:val="00170B16"/>
    <w:rsid w:val="0018670B"/>
    <w:rsid w:val="001C3ADC"/>
    <w:rsid w:val="001D2041"/>
    <w:rsid w:val="001E17A9"/>
    <w:rsid w:val="002327DA"/>
    <w:rsid w:val="002470FA"/>
    <w:rsid w:val="002614BD"/>
    <w:rsid w:val="00283EC0"/>
    <w:rsid w:val="002C3D99"/>
    <w:rsid w:val="002D2772"/>
    <w:rsid w:val="00304646"/>
    <w:rsid w:val="00323470"/>
    <w:rsid w:val="00355D66"/>
    <w:rsid w:val="003A2BE9"/>
    <w:rsid w:val="0043660E"/>
    <w:rsid w:val="004A52BF"/>
    <w:rsid w:val="004C7D0B"/>
    <w:rsid w:val="004E66FC"/>
    <w:rsid w:val="00556F03"/>
    <w:rsid w:val="00597D95"/>
    <w:rsid w:val="00637282"/>
    <w:rsid w:val="00650300"/>
    <w:rsid w:val="006761DE"/>
    <w:rsid w:val="006B1642"/>
    <w:rsid w:val="00704FBC"/>
    <w:rsid w:val="00711801"/>
    <w:rsid w:val="00715A67"/>
    <w:rsid w:val="00726025"/>
    <w:rsid w:val="007477C6"/>
    <w:rsid w:val="00774672"/>
    <w:rsid w:val="007756D8"/>
    <w:rsid w:val="00843BC0"/>
    <w:rsid w:val="00864DF6"/>
    <w:rsid w:val="00870915"/>
    <w:rsid w:val="008A40B9"/>
    <w:rsid w:val="008A466B"/>
    <w:rsid w:val="008C2763"/>
    <w:rsid w:val="008F31F5"/>
    <w:rsid w:val="00953895"/>
    <w:rsid w:val="009A514E"/>
    <w:rsid w:val="009E4D97"/>
    <w:rsid w:val="00A70FDA"/>
    <w:rsid w:val="00A83346"/>
    <w:rsid w:val="00AA6170"/>
    <w:rsid w:val="00AE354C"/>
    <w:rsid w:val="00B15540"/>
    <w:rsid w:val="00B620AA"/>
    <w:rsid w:val="00B83B16"/>
    <w:rsid w:val="00B902AA"/>
    <w:rsid w:val="00BA73F5"/>
    <w:rsid w:val="00BA7CD2"/>
    <w:rsid w:val="00BB65F6"/>
    <w:rsid w:val="00BC5D2A"/>
    <w:rsid w:val="00BD4414"/>
    <w:rsid w:val="00C40C41"/>
    <w:rsid w:val="00C941DC"/>
    <w:rsid w:val="00C946A7"/>
    <w:rsid w:val="00CE0416"/>
    <w:rsid w:val="00D00442"/>
    <w:rsid w:val="00D17B06"/>
    <w:rsid w:val="00D31F2C"/>
    <w:rsid w:val="00D45E75"/>
    <w:rsid w:val="00D63B26"/>
    <w:rsid w:val="00DD1B93"/>
    <w:rsid w:val="00E02D15"/>
    <w:rsid w:val="00E0315D"/>
    <w:rsid w:val="00E10D98"/>
    <w:rsid w:val="00E24012"/>
    <w:rsid w:val="00E81912"/>
    <w:rsid w:val="00EB0E6E"/>
    <w:rsid w:val="00EC65F7"/>
    <w:rsid w:val="00EE0299"/>
    <w:rsid w:val="00EE0E97"/>
    <w:rsid w:val="00F76709"/>
    <w:rsid w:val="00FB44EB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41CBEE-B8BC-4E9B-8536-34BBF088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3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6C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E6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6C2B"/>
  </w:style>
  <w:style w:type="paragraph" w:styleId="AltBilgi">
    <w:name w:val="footer"/>
    <w:basedOn w:val="Normal"/>
    <w:link w:val="AltBilgiChar"/>
    <w:unhideWhenUsed/>
    <w:rsid w:val="000E6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E6C2B"/>
  </w:style>
  <w:style w:type="paragraph" w:styleId="NormalWeb">
    <w:name w:val="Normal (Web)"/>
    <w:basedOn w:val="Normal"/>
    <w:uiPriority w:val="99"/>
    <w:unhideWhenUsed/>
    <w:rsid w:val="00BA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 KOÇAK</dc:creator>
  <cp:keywords/>
  <dc:description/>
  <cp:lastModifiedBy>S.Gul ARSLAN</cp:lastModifiedBy>
  <cp:revision>9</cp:revision>
  <dcterms:created xsi:type="dcterms:W3CDTF">2024-10-03T19:15:00Z</dcterms:created>
  <dcterms:modified xsi:type="dcterms:W3CDTF">2025-02-13T08:53:00Z</dcterms:modified>
</cp:coreProperties>
</file>