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99" w:rsidRPr="009F2D83" w:rsidRDefault="00315299" w:rsidP="00FC438A">
      <w:pPr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Amaç </w:t>
      </w:r>
    </w:p>
    <w:p w:rsidR="00315299" w:rsidRPr="009F2D83" w:rsidRDefault="002D7786" w:rsidP="00FC438A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Bu </w:t>
      </w:r>
      <w:proofErr w:type="gramStart"/>
      <w:r>
        <w:rPr>
          <w:rFonts w:ascii="Times New Roman" w:eastAsia="Times" w:hAnsi="Times New Roman" w:cs="Times New Roman"/>
          <w:sz w:val="24"/>
          <w:szCs w:val="20"/>
          <w:lang w:eastAsia="tr-TR"/>
        </w:rPr>
        <w:t>p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rosedürün</w:t>
      </w:r>
      <w:proofErr w:type="gramEnd"/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amacı</w:t>
      </w:r>
      <w:r w:rsidR="00FA1E56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="00FC02DF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T</w:t>
      </w:r>
      <w:r w:rsidR="00A460E8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alim ve Terbiye Kurulu Başkanlığı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Kalite Yönetim Sistemi’nin gözden geçirilmesi, etkin ve sürekli olarak devam ettirilmesi ve bu sistemin</w:t>
      </w:r>
      <w:r w:rsidR="00FA1E56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kalite politikası ve hedeflerine uygun o</w:t>
      </w:r>
      <w:r w:rsidR="00FC02DF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larak varlığının sürdürülmesinin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sağlanmasıdır.</w:t>
      </w:r>
    </w:p>
    <w:p w:rsidR="00315299" w:rsidRPr="009F2D83" w:rsidRDefault="00315299" w:rsidP="00FC438A">
      <w:pPr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 xml:space="preserve">Kapsam </w:t>
      </w:r>
    </w:p>
    <w:p w:rsidR="00A460E8" w:rsidRPr="009F2D83" w:rsidRDefault="0045767C" w:rsidP="00FC438A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Bu P</w:t>
      </w:r>
      <w:r w:rsidR="00A460E8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rosedür, Talim ve Terbiye Kurulu Başkanlığı Kalite Yönetim Sistemi</w:t>
      </w:r>
      <w:r w:rsidR="00FA1E56">
        <w:rPr>
          <w:rFonts w:ascii="Times New Roman" w:eastAsia="Times" w:hAnsi="Times New Roman" w:cs="Times New Roman"/>
          <w:sz w:val="24"/>
          <w:szCs w:val="20"/>
          <w:lang w:eastAsia="tr-TR"/>
        </w:rPr>
        <w:t>’</w:t>
      </w:r>
      <w:r w:rsidR="00A460E8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nin içerisinde bulunan ve sistemi doğrudan etkileyen tüm faaliyet ve önerileri kapsamaktadır.</w:t>
      </w:r>
    </w:p>
    <w:p w:rsidR="00315299" w:rsidRPr="009F2D83" w:rsidRDefault="00315299" w:rsidP="00FC438A">
      <w:pPr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Kısaltmalar/Tanımlar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KYS: Kalite Yönetim Sistemi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KYK: Kalite Yönetim Kurulu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YGG: Yönetimin Gözden Geçirmesi</w:t>
      </w:r>
    </w:p>
    <w:p w:rsidR="00315299" w:rsidRPr="009F2D83" w:rsidRDefault="00315299" w:rsidP="00FC438A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Sorumlula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r</w:t>
      </w:r>
    </w:p>
    <w:p w:rsidR="00A460E8" w:rsidRPr="009F2D83" w:rsidRDefault="00A460E8" w:rsidP="00FC438A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Ta</w:t>
      </w:r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>lim ve Terbiye Kurulu Başkanı, kalite yönetim temsilcisi, kalite y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önetim </w:t>
      </w:r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>ç</w:t>
      </w:r>
      <w:r w:rsidR="00FC02DF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alışma </w:t>
      </w:r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>ekibi, daire b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aşkanları</w:t>
      </w:r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>/birim k</w:t>
      </w:r>
      <w:r w:rsidR="00D91828">
        <w:rPr>
          <w:rFonts w:ascii="Times New Roman" w:eastAsia="Times" w:hAnsi="Times New Roman" w:cs="Times New Roman"/>
          <w:sz w:val="24"/>
          <w:szCs w:val="20"/>
          <w:lang w:eastAsia="tr-TR"/>
        </w:rPr>
        <w:t>oordinatörleri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baş</w:t>
      </w:r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ta olmak üzere tüm birimler bu </w:t>
      </w:r>
      <w:proofErr w:type="gramStart"/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>p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rosedürün</w:t>
      </w:r>
      <w:proofErr w:type="gramEnd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amaca yönelik olarak uygulanmasından sorumludur.</w:t>
      </w:r>
    </w:p>
    <w:p w:rsidR="00315299" w:rsidRPr="009F2D83" w:rsidRDefault="00315299" w:rsidP="00FC438A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Uygulama</w:t>
      </w:r>
    </w:p>
    <w:p w:rsidR="001610AE" w:rsidRPr="009F2D83" w:rsidRDefault="00315299" w:rsidP="00FC438A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1. </w:t>
      </w:r>
      <w:r w:rsidRPr="009F2D83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Toplantıya Hazırlık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</w:p>
    <w:p w:rsidR="00315299" w:rsidRPr="009F2D83" w:rsidRDefault="002D7786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YGG t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oplantısı, yılda en az bir kez </w:t>
      </w:r>
      <w:r w:rsidR="001610AE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Kurul Başkanı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başkanlığında 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daire başkanları/birim k</w:t>
      </w:r>
      <w:r w:rsidR="00D91828" w:rsidRPr="00D91828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oordinatörleri 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ve </w:t>
      </w:r>
      <w:proofErr w:type="spellStart"/>
      <w:r>
        <w:rPr>
          <w:rFonts w:ascii="Times New Roman" w:eastAsia="Times" w:hAnsi="Times New Roman" w:cs="Times New Roman"/>
          <w:sz w:val="24"/>
          <w:szCs w:val="20"/>
          <w:lang w:eastAsia="tr-TR"/>
        </w:rPr>
        <w:t>KYK’nin</w:t>
      </w:r>
      <w:proofErr w:type="spellEnd"/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katılımıyla üst y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önetim tarafından yapılır. Gerek görüldüğünde bu toplantı </w:t>
      </w:r>
      <w:r w:rsidR="001610AE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Kurul Başkanı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veya KYS t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emsilcisinin talebi ile </w:t>
      </w:r>
      <w:r w:rsidR="001610AE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Kurul Başkanı 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onayı doğrultusunda belirlenen periyodun dışında da yapılabilir. Toplantıya </w:t>
      </w:r>
      <w:r w:rsidR="001610AE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Kurul Başkanı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, 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d</w:t>
      </w:r>
      <w:r w:rsidR="00673230" w:rsidRPr="0067323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aire 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başkanları/birim k</w:t>
      </w:r>
      <w:r w:rsidR="00673230" w:rsidRPr="00673230">
        <w:rPr>
          <w:rFonts w:ascii="Times New Roman" w:eastAsia="Times" w:hAnsi="Times New Roman" w:cs="Times New Roman"/>
          <w:sz w:val="24"/>
          <w:szCs w:val="20"/>
          <w:lang w:eastAsia="tr-TR"/>
        </w:rPr>
        <w:t>oordinatörleri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, KYS t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emsilcisi, gerek duyulan diğer personel katılır. Bu gözden geçirme faaliyetinin amacı </w:t>
      </w:r>
      <w:proofErr w:type="spellStart"/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KYS’nin</w:t>
      </w:r>
      <w:proofErr w:type="spellEnd"/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işlerliğini, geçmiş yıllardaki performansa göre değerlendirip gelecek yıllar için hedef belirlemektir. Üst 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y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önetim, gözden geçirme faaliyetleri sonrasında gelecek yılın hedeflerini belirler ve faaliyetlerini planlar. Bu hedefler sistemin geliştirilmesi ve uygulanması için alınacak önlemleri ve ulaşılacak sonuçları kapsar.</w:t>
      </w:r>
    </w:p>
    <w:p w:rsidR="00315299" w:rsidRPr="009F2D83" w:rsidRDefault="002D7786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YGG t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oplantısının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tarihi, yeri, saati ve gündemi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katılı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mcılara en az 3 gün önce KYS t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emsilcisi tarafından resmî yazı ile duyurulur.</w:t>
      </w:r>
    </w:p>
    <w:p w:rsidR="00315299" w:rsidRPr="009F2D83" w:rsidRDefault="0080751B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YGG T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oplantısında </w:t>
      </w:r>
      <w:proofErr w:type="spellStart"/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KYS’nin</w:t>
      </w:r>
      <w:proofErr w:type="spellEnd"/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etkinliği, yürürlükteki politika ve hedeflere uygunluğu göz önüne alınır. Toplantı gündemini yönetimin gerekli gördüğü diğer konuların yanı sıra;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Önceki YGG toplantısı sonucunda başlatılarak devam eden takip faaliyetlerinin incelenmesi ve alınan</w:t>
      </w:r>
      <w:r w:rsidR="00443C82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kararlarının değerlendirilmesi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</w:p>
    <w:p w:rsidR="00A460E8" w:rsidRPr="009F2D83" w:rsidRDefault="00A460E8" w:rsidP="00A460E8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</w:t>
      </w:r>
      <w:proofErr w:type="spellStart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KYS’nin</w:t>
      </w:r>
      <w:proofErr w:type="spellEnd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uygunluğunun, yeterliliğinin ve etkinliğinin değerlendirilmesi,</w:t>
      </w:r>
    </w:p>
    <w:p w:rsidR="00A460E8" w:rsidRPr="009F2D83" w:rsidRDefault="00A460E8" w:rsidP="00A460E8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Hizmetin yürütülmesine ilişkin talep, öneri ve anket çalışmalarının değerlendirilmesi,</w:t>
      </w:r>
    </w:p>
    <w:p w:rsidR="00A460E8" w:rsidRPr="009F2D83" w:rsidRDefault="00A460E8" w:rsidP="00A460E8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lastRenderedPageBreak/>
        <w:t>• İç ve dış tetkiklerin sonuçlarının incelenmesi,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Uygunsuzluk ve düzeltici faaliyet raporlarının incelenmesi, 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Öneri, istek ve iyileştirme önerilerinin değerlendirilmesi,</w:t>
      </w:r>
    </w:p>
    <w:p w:rsidR="00315299" w:rsidRPr="009F2D83" w:rsidRDefault="002D7786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• Kalite politikası ve kalite hedefleri, k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alite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atırımları, 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</w:t>
      </w:r>
      <w:proofErr w:type="spellStart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KYS’yi</w:t>
      </w:r>
      <w:proofErr w:type="spellEnd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etkileyebilecek değişikliklerin değerlendirilmesi, 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İlgili taraflar ve dış sağlayıcılarla ilgili konular,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</w:t>
      </w:r>
      <w:proofErr w:type="spellStart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KYS’nin</w:t>
      </w:r>
      <w:proofErr w:type="spellEnd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etkinliğinin sürdürülmesi için gerekli olan kaynakların yeterliliği,</w:t>
      </w:r>
    </w:p>
    <w:p w:rsidR="00315299" w:rsidRPr="009F2D83" w:rsidRDefault="0018505B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• Ürün ve hizmet uygunluğu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Risk ve fırsatların ele alınmasıyla ilgili faaliyetlerin etkinliği,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Sürekli iyileştirme için yeni potansiyel fırsatlar,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Eğitim ihtiyaçlarının belirlenmesi,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Katılımcıların gündem</w:t>
      </w:r>
      <w:r w:rsidR="00181A43">
        <w:rPr>
          <w:rFonts w:ascii="Times New Roman" w:eastAsia="Times" w:hAnsi="Times New Roman" w:cs="Times New Roman"/>
          <w:sz w:val="24"/>
          <w:szCs w:val="20"/>
          <w:lang w:eastAsia="tr-TR"/>
        </w:rPr>
        <w:t>e getireceği konular (d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ilek ve t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emenniler) oluşturur.</w:t>
      </w:r>
    </w:p>
    <w:p w:rsidR="00315299" w:rsidRPr="009F2D83" w:rsidRDefault="002D7786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YGG t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oplantısı öncesinde tüm birim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yöneticileri ve KYS t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emsilcisi, toplantıda görüşülecek konular için gerekli hazırlıkları yaparlar.</w:t>
      </w:r>
      <w:r w:rsidR="001610AE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>KYS t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emsilcisi; birimlerden gelen performans raporlarını göz önünde bulundurarak uygunsuzluk kayıt formları, düzeltici faaliyetler ile ilgili kayıtlar, öneriler vb.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ni</w:t>
      </w:r>
      <w:r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esas alınarak YGG t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oplantısına sunulmak üzere Kalite Yönetim Sistemi </w:t>
      </w:r>
      <w:r w:rsidR="00315299" w:rsidRPr="009F2D83">
        <w:rPr>
          <w:rFonts w:ascii="Times New Roman" w:eastAsia="Times" w:hAnsi="Times New Roman" w:cs="Times New Roman"/>
          <w:color w:val="000000" w:themeColor="text1"/>
          <w:sz w:val="24"/>
          <w:szCs w:val="20"/>
          <w:lang w:eastAsia="tr-TR"/>
        </w:rPr>
        <w:t>Genel Performans Raporu’nu</w:t>
      </w:r>
      <w:r w:rsidR="001610AE" w:rsidRPr="009F2D83">
        <w:rPr>
          <w:rFonts w:ascii="Times New Roman" w:eastAsia="Times" w:hAnsi="Times New Roman" w:cs="Times New Roman"/>
          <w:color w:val="000000" w:themeColor="text1"/>
          <w:sz w:val="24"/>
          <w:szCs w:val="20"/>
          <w:lang w:eastAsia="tr-TR"/>
        </w:rPr>
        <w:t xml:space="preserve"> 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hazırlar. Performans raporu, toplantıdan önce toplantıya katılacaklara dağıtılır. Hazırlanacak rapor;</w:t>
      </w:r>
    </w:p>
    <w:p w:rsidR="00315299" w:rsidRPr="009F2D83" w:rsidRDefault="002D7786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• Bir önceki YGG t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oplantısında alınan kararlara yönelik yapılan faaliyetler ve sonuçları, 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</w:t>
      </w:r>
      <w:proofErr w:type="spellStart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KYS’yi</w:t>
      </w:r>
      <w:proofErr w:type="spellEnd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etkileyebilecek değişiklikler,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Dönütler (şikâyet, öneri, anket, toplantı vb.),</w:t>
      </w:r>
    </w:p>
    <w:p w:rsidR="00315299" w:rsidRPr="009F2D83" w:rsidRDefault="0018505B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>
        <w:rPr>
          <w:rFonts w:ascii="Times New Roman" w:eastAsia="Times" w:hAnsi="Times New Roman" w:cs="Times New Roman"/>
          <w:sz w:val="24"/>
          <w:szCs w:val="20"/>
          <w:lang w:eastAsia="tr-TR"/>
        </w:rPr>
        <w:t>• İç/</w:t>
      </w:r>
      <w:r w:rsidR="00315299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dış tetkik raporlarının değerlendirilmesi,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Düzeltici faaliyetlerin sonuçları,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Kalite politikasının uygulanmasının kontrolü,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Hedeflerin gözden geçirilmesi, </w:t>
      </w:r>
    </w:p>
    <w:p w:rsidR="00A460E8" w:rsidRPr="009F2D83" w:rsidRDefault="00A460E8" w:rsidP="00A460E8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Kaynakların durumu,</w:t>
      </w:r>
    </w:p>
    <w:p w:rsidR="00A460E8" w:rsidRPr="009F2D83" w:rsidRDefault="00A460E8" w:rsidP="00A460E8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Süreç Performans Değerlendirme Formları konularında genel olarak sistemin işleyişini, aksaklıklarını ve iyileştirme için ihtiyaçlarını içerir.</w:t>
      </w:r>
    </w:p>
    <w:p w:rsidR="00A460E8" w:rsidRPr="009F2D83" w:rsidRDefault="00A460E8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Raporla birlikte gündem içindeki konulara göre daha önceden incelenmesi veya çalışılması gereken konularla ilgili, katılımcılarda olmayan evrak, belge vb. varsa davet yazısına eklenir. Böylece paydaşların toplantıya hazır gelmeleri sağlanır. Topl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antı öncesinde toplantı salonu kontrol edilir;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eksik donanım, malzeme varsa temin edilir. Bilgisayar, </w:t>
      </w:r>
      <w:proofErr w:type="gramStart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projeks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iyon</w:t>
      </w:r>
      <w:proofErr w:type="gramEnd"/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vb.nin çalışıp 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lastRenderedPageBreak/>
        <w:t>çalışmadığı;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gerekli ise internet bağlantısının olup olmadığı kontrol edilir. Toplantı gündem maddelerini ve not kâğıtlarını içeren dosyalar hazırlanarak katılımcıların masalarına bırakılır. Toplantı Tutanak Formu hazırlanır ve toplantı tutanaklarının yazılması için y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azmanın salonda hazır bulunması,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yazman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yoksa yedek yazmanın toplantıya katılması sağlanır.</w:t>
      </w:r>
    </w:p>
    <w:p w:rsidR="00A460E8" w:rsidRPr="009F2D83" w:rsidRDefault="00A460E8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YGG toplantısında, KYS Performans Raporu değerlendirilir ve belirlenen politikalar çerçevesinde öncelikli olarak ana hedefleri belirlenir. Bu işlem yılda en az bir kez gerçekleştirilir.</w:t>
      </w:r>
    </w:p>
    <w:p w:rsidR="00A460E8" w:rsidRPr="009F2D83" w:rsidRDefault="00A460E8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Kalite hedefleri aşağıdaki </w:t>
      </w:r>
      <w:proofErr w:type="gramStart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kriter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ler</w:t>
      </w:r>
      <w:proofErr w:type="gramEnd"/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dikkate alınarak belirlenir (</w:t>
      </w:r>
      <w:r w:rsidR="001610AE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Hedef 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belirlenmesi d</w:t>
      </w:r>
      <w:r w:rsidR="008C4A5C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urumunda)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:</w:t>
      </w:r>
    </w:p>
    <w:p w:rsidR="00A460E8" w:rsidRPr="009F2D83" w:rsidRDefault="00A460E8" w:rsidP="00A460E8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Kalite politikasını destekleyen biçimde olması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</w:p>
    <w:p w:rsidR="00A460E8" w:rsidRPr="009F2D83" w:rsidRDefault="00A460E8" w:rsidP="00A460E8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Açık, net ve anlaşılabilir olması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</w:p>
    <w:p w:rsidR="00A460E8" w:rsidRPr="009F2D83" w:rsidRDefault="00A460E8" w:rsidP="00A460E8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Ölçülebilir olması (Miktar ve/veya zaman boyutları belirtilmelidir.)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</w:p>
    <w:p w:rsidR="00A460E8" w:rsidRPr="009F2D83" w:rsidRDefault="00A460E8" w:rsidP="00A460E8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Ulaşılabilir olması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</w:p>
    <w:p w:rsidR="00A460E8" w:rsidRPr="009F2D83" w:rsidRDefault="00A460E8" w:rsidP="00A460E8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Sürekli iyileşmeye yönelten hedefler olması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</w:p>
    <w:p w:rsidR="00A460E8" w:rsidRPr="009F2D83" w:rsidRDefault="00A460E8" w:rsidP="00A460E8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Hedeflerin ortak kararla belirlenmiş olması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.</w:t>
      </w:r>
    </w:p>
    <w:p w:rsidR="00A460E8" w:rsidRPr="009F2D83" w:rsidRDefault="00A460E8" w:rsidP="001610AE">
      <w:pPr>
        <w:ind w:firstLine="708"/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45767C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Ana hedefler; tanımlar, açıklamalar, sorumlular, takip periyodu ve hedeflenen değerler belirlenerek Süreç Performans Takip </w:t>
      </w:r>
      <w:proofErr w:type="spellStart"/>
      <w:r w:rsidRPr="0045767C">
        <w:rPr>
          <w:rFonts w:ascii="Times New Roman" w:eastAsia="Times" w:hAnsi="Times New Roman" w:cs="Times New Roman"/>
          <w:sz w:val="24"/>
          <w:szCs w:val="20"/>
          <w:lang w:eastAsia="tr-TR"/>
        </w:rPr>
        <w:t>Formu’na</w:t>
      </w:r>
      <w:proofErr w:type="spellEnd"/>
      <w:r w:rsidRPr="0045767C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işlenir.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Süreç Performans Takip </w:t>
      </w:r>
      <w:proofErr w:type="spellStart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Formu’nun</w:t>
      </w:r>
      <w:proofErr w:type="spellEnd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bir nüshası </w:t>
      </w:r>
      <w:r w:rsidR="0018505B">
        <w:rPr>
          <w:rFonts w:ascii="Times New Roman" w:eastAsia="Times" w:hAnsi="Times New Roman" w:cs="Times New Roman"/>
          <w:sz w:val="24"/>
          <w:szCs w:val="20"/>
          <w:lang w:eastAsia="tr-TR"/>
        </w:rPr>
        <w:t>hizmet b</w:t>
      </w:r>
      <w:r w:rsidR="00673230">
        <w:rPr>
          <w:rFonts w:ascii="Times New Roman" w:eastAsia="Times" w:hAnsi="Times New Roman" w:cs="Times New Roman"/>
          <w:sz w:val="24"/>
          <w:szCs w:val="20"/>
          <w:lang w:eastAsia="tr-TR"/>
        </w:rPr>
        <w:t>irimlerine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verilir.</w:t>
      </w:r>
    </w:p>
    <w:p w:rsidR="00A460E8" w:rsidRPr="0018505B" w:rsidRDefault="00A460E8" w:rsidP="00FC438A">
      <w:pPr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18505B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2. Toplantı Sırasında ve Toplantı Sonrası Yapılacak İşlemler</w:t>
      </w:r>
    </w:p>
    <w:p w:rsidR="00920F68" w:rsidRPr="009F2D83" w:rsidRDefault="00A460E8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Toplantı sırasında alınan tüm kararlar KYK üyeleri içinden yazman olarak göre</w:t>
      </w:r>
      <w:r w:rsidR="0094498D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vlendirilen </w:t>
      </w:r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>üye tarafından YGG toplantı t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utanağına kaydedilir, toplantıya katılanlar tarafından her sayfası paraflanır ve son sayfası imzalanır. İmzalanan toplantı tutanağın orijinali </w:t>
      </w:r>
      <w:r w:rsidR="00283AFA">
        <w:rPr>
          <w:rFonts w:ascii="Times New Roman" w:eastAsia="Times" w:hAnsi="Times New Roman" w:cs="Times New Roman"/>
          <w:sz w:val="24"/>
          <w:szCs w:val="20"/>
          <w:lang w:eastAsia="tr-TR"/>
        </w:rPr>
        <w:t>İzleme ve Değerlendirme Daire Başkanlığı</w:t>
      </w:r>
      <w:r w:rsidR="00283AFA" w:rsidRPr="00491872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tarafından muhafaza edilir, kopyası birimlere gönderilir. Tutanakta</w:t>
      </w:r>
      <w:r w:rsidR="002478EE">
        <w:rPr>
          <w:rFonts w:ascii="Times New Roman" w:eastAsia="Times" w:hAnsi="Times New Roman" w:cs="Times New Roman"/>
          <w:sz w:val="24"/>
          <w:szCs w:val="20"/>
          <w:lang w:eastAsia="tr-TR"/>
        </w:rPr>
        <w:t>,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karar verilen faaliyetlerin yürütülmesinden sorumlu </w:t>
      </w:r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>daire başkanları/birim k</w:t>
      </w:r>
      <w:r w:rsidR="00673230" w:rsidRPr="00673230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oordinatörleri 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ve faaliyetlerin yaklaşık tamamlanma süreleriyle ilgili bilgiler de bulunur.</w:t>
      </w:r>
    </w:p>
    <w:p w:rsidR="00A460E8" w:rsidRPr="009F2D83" w:rsidRDefault="00A460E8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YGG toplantısında sadece uygunsuzluklar değil, aynı zamanda geliştirilmesi ve iyileştirilmesi mümkün olan konular da görüşülerek </w:t>
      </w:r>
      <w:proofErr w:type="spellStart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KYS’ye</w:t>
      </w:r>
      <w:proofErr w:type="spellEnd"/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il</w:t>
      </w:r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>işkin tüm kararlar alınır. YGG t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oplantılarında alınan kararların uygulanmasından </w:t>
      </w:r>
      <w:r w:rsidR="008C4A5C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Kurul Başkanı 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ve </w:t>
      </w:r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>daire başkanları/birim k</w:t>
      </w:r>
      <w:r w:rsidR="00673230" w:rsidRPr="00673230">
        <w:rPr>
          <w:rFonts w:ascii="Times New Roman" w:eastAsia="Times" w:hAnsi="Times New Roman" w:cs="Times New Roman"/>
          <w:sz w:val="24"/>
          <w:szCs w:val="20"/>
          <w:lang w:eastAsia="tr-TR"/>
        </w:rPr>
        <w:t>oordinatörleri</w:t>
      </w:r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>, izlenmesinden ise KYS t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emsilcisi sorumludur.</w:t>
      </w:r>
    </w:p>
    <w:p w:rsidR="00A460E8" w:rsidRPr="009F2D83" w:rsidRDefault="00A460E8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Toplantıda karar verilen hususların öngörülen tarihte t</w:t>
      </w:r>
      <w:r w:rsidR="002D7786">
        <w:rPr>
          <w:rFonts w:ascii="Times New Roman" w:eastAsia="Times" w:hAnsi="Times New Roman" w:cs="Times New Roman"/>
          <w:sz w:val="24"/>
          <w:szCs w:val="20"/>
          <w:lang w:eastAsia="tr-TR"/>
        </w:rPr>
        <w:t>amamlanıp tamamlanmadığını KYS t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emsilcisi kontrol eder.</w:t>
      </w:r>
    </w:p>
    <w:p w:rsidR="00315299" w:rsidRDefault="00315299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YGG faaliyetlerinin kayıtları </w:t>
      </w:r>
      <w:r w:rsidR="00156167">
        <w:rPr>
          <w:rFonts w:ascii="Times New Roman" w:eastAsia="Times" w:hAnsi="Times New Roman" w:cs="Times New Roman"/>
          <w:sz w:val="24"/>
          <w:szCs w:val="20"/>
          <w:lang w:eastAsia="tr-TR"/>
        </w:rPr>
        <w:t>İzleme ve Değerlendirme Daire Başkanlığı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tarafından saklanır. Alınan kararlar düzeltici faaliyetlere de veri teşkil eder.</w:t>
      </w:r>
    </w:p>
    <w:p w:rsidR="0045767C" w:rsidRDefault="0045767C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94498D" w:rsidRPr="009F2D83" w:rsidRDefault="0094498D" w:rsidP="0045767C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b/>
          <w:sz w:val="24"/>
          <w:szCs w:val="20"/>
          <w:lang w:eastAsia="tr-TR"/>
        </w:rPr>
        <w:lastRenderedPageBreak/>
        <w:t>İlgili Doküman ve Formlar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• Toplantı Tutanağı Formu 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İlgili Kanun, Tüzük ve Yönetmelikler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Kayıtların Kontrolü Prosedürü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Düzeltici Faaliyet Prosedürü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İç Tetkik Prosedürü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Uygun olmayan Hizmet/Ürün Prosedürü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• Dokümantasyon Prosedürü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b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b/>
          <w:sz w:val="24"/>
          <w:szCs w:val="20"/>
          <w:lang w:eastAsia="tr-TR"/>
        </w:rPr>
        <w:t>Gözden Geçirme</w:t>
      </w:r>
    </w:p>
    <w:p w:rsidR="00315299" w:rsidRPr="009F2D83" w:rsidRDefault="00315299" w:rsidP="00315299">
      <w:pPr>
        <w:jc w:val="both"/>
        <w:rPr>
          <w:rFonts w:ascii="Times New Roman" w:eastAsia="Times" w:hAnsi="Times New Roman" w:cs="Times New Roman"/>
          <w:sz w:val="24"/>
          <w:szCs w:val="20"/>
          <w:lang w:eastAsia="tr-TR"/>
        </w:rPr>
      </w:pP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Bu işlem yılda bir kez</w:t>
      </w:r>
      <w:r w:rsidR="008940C0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gözde</w:t>
      </w:r>
      <w:bookmarkStart w:id="0" w:name="_GoBack"/>
      <w:bookmarkEnd w:id="0"/>
      <w:r w:rsidR="008940C0"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>n</w:t>
      </w:r>
      <w:r w:rsidRPr="009F2D83">
        <w:rPr>
          <w:rFonts w:ascii="Times New Roman" w:eastAsia="Times" w:hAnsi="Times New Roman" w:cs="Times New Roman"/>
          <w:sz w:val="24"/>
          <w:szCs w:val="20"/>
          <w:lang w:eastAsia="tr-TR"/>
        </w:rPr>
        <w:t xml:space="preserve"> gerçekleştirilir.</w:t>
      </w:r>
    </w:p>
    <w:sectPr w:rsidR="00315299" w:rsidRPr="009F2D83" w:rsidSect="00443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2F" w:rsidRDefault="00BE132F" w:rsidP="00920F68">
      <w:pPr>
        <w:spacing w:after="0" w:line="240" w:lineRule="auto"/>
      </w:pPr>
      <w:r>
        <w:separator/>
      </w:r>
    </w:p>
  </w:endnote>
  <w:endnote w:type="continuationSeparator" w:id="0">
    <w:p w:rsidR="00BE132F" w:rsidRDefault="00BE132F" w:rsidP="0092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B" w:rsidRDefault="00FA1F0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65"/>
    </w:tblGrid>
    <w:tr w:rsidR="00D91828" w:rsidTr="0007765F">
      <w:trPr>
        <w:trHeight w:val="283"/>
      </w:trPr>
      <w:tc>
        <w:tcPr>
          <w:tcW w:w="10065" w:type="dxa"/>
          <w:tcBorders>
            <w:top w:val="single" w:sz="18" w:space="0" w:color="5B9BD5" w:themeColor="accent5"/>
            <w:left w:val="nil"/>
            <w:bottom w:val="nil"/>
            <w:right w:val="nil"/>
          </w:tcBorders>
        </w:tcPr>
        <w:p w:rsidR="00D91828" w:rsidRDefault="00D91828" w:rsidP="0007765F">
          <w:pPr>
            <w:pStyle w:val="AltBilgi"/>
            <w:spacing w:before="240" w:after="240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Doküman No: P9.07</w:t>
          </w:r>
          <w:r w:rsidRPr="00E01EC5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İlk Yayın Tarihi: 02.01.2023</w:t>
          </w:r>
          <w:r w:rsidRPr="00E01EC5">
            <w:rPr>
              <w:rFonts w:ascii="Times New Roman" w:hAnsi="Times New Roman" w:cs="Times New Roman"/>
              <w:i/>
              <w:sz w:val="18"/>
              <w:szCs w:val="18"/>
            </w:rPr>
            <w:t>;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</w:t>
          </w:r>
          <w:r w:rsidR="00FA1F0B" w:rsidRPr="00FA1F0B">
            <w:rPr>
              <w:rFonts w:ascii="Times New Roman" w:hAnsi="Times New Roman" w:cs="Times New Roman"/>
              <w:i/>
              <w:sz w:val="18"/>
              <w:szCs w:val="18"/>
            </w:rPr>
            <w:t>Revizyon Tarihi: 20.03.2024;          Revizyon No: 02;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 xml:space="preserve">          Sayfa: </w:t>
          </w:r>
          <w:r w:rsidRPr="00AC2FF7"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 w:rsidRPr="00AC2FF7">
            <w:rPr>
              <w:rFonts w:ascii="Times New Roman" w:hAnsi="Times New Roman" w:cs="Times New Roman"/>
              <w:i/>
              <w:sz w:val="18"/>
              <w:szCs w:val="18"/>
            </w:rPr>
            <w:instrText>PAGE   \* MERGEFORMAT</w:instrText>
          </w:r>
          <w:r w:rsidRPr="00AC2FF7"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2D7786">
            <w:rPr>
              <w:rFonts w:ascii="Times New Roman" w:hAnsi="Times New Roman" w:cs="Times New Roman"/>
              <w:i/>
              <w:noProof/>
              <w:sz w:val="18"/>
              <w:szCs w:val="18"/>
            </w:rPr>
            <w:t>4</w:t>
          </w:r>
          <w:r w:rsidRPr="00AC2FF7"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/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fldChar w:fldCharType="separate"/>
          </w:r>
          <w:r w:rsidR="002D7786">
            <w:rPr>
              <w:rFonts w:ascii="Times New Roman" w:hAnsi="Times New Roman" w:cs="Times New Roman"/>
              <w:i/>
              <w:noProof/>
              <w:sz w:val="18"/>
              <w:szCs w:val="18"/>
            </w:rPr>
            <w:t>4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fldChar w:fldCharType="end"/>
          </w:r>
        </w:p>
      </w:tc>
    </w:tr>
  </w:tbl>
  <w:p w:rsidR="00D91828" w:rsidRDefault="0007765F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1" allowOverlap="1" wp14:anchorId="497182EF" wp14:editId="22B8D4EE">
          <wp:simplePos x="0" y="0"/>
          <wp:positionH relativeFrom="column">
            <wp:posOffset>5939155</wp:posOffset>
          </wp:positionH>
          <wp:positionV relativeFrom="paragraph">
            <wp:posOffset>-448945</wp:posOffset>
          </wp:positionV>
          <wp:extent cx="561340" cy="498475"/>
          <wp:effectExtent l="0" t="0" r="0" b="0"/>
          <wp:wrapNone/>
          <wp:docPr id="144" name="Resim 1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B" w:rsidRDefault="00FA1F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2F" w:rsidRDefault="00BE132F" w:rsidP="00920F68">
      <w:pPr>
        <w:spacing w:after="0" w:line="240" w:lineRule="auto"/>
      </w:pPr>
      <w:r>
        <w:separator/>
      </w:r>
    </w:p>
  </w:footnote>
  <w:footnote w:type="continuationSeparator" w:id="0">
    <w:p w:rsidR="00BE132F" w:rsidRDefault="00BE132F" w:rsidP="0092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B" w:rsidRDefault="00FA1F0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2" w:type="dxa"/>
      <w:tblInd w:w="-891" w:type="dxa"/>
      <w:tblBorders>
        <w:bottom w:val="single" w:sz="18" w:space="0" w:color="5B9BD5" w:themeColor="accent5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8"/>
      <w:gridCol w:w="7225"/>
      <w:gridCol w:w="1839"/>
    </w:tblGrid>
    <w:tr w:rsidR="00D91828" w:rsidRPr="005E2C81" w:rsidTr="008E7B35">
      <w:trPr>
        <w:trHeight w:val="1838"/>
      </w:trPr>
      <w:tc>
        <w:tcPr>
          <w:tcW w:w="1698" w:type="dxa"/>
          <w:vAlign w:val="center"/>
        </w:tcPr>
        <w:p w:rsidR="00D91828" w:rsidRPr="005E2C81" w:rsidRDefault="00D91828" w:rsidP="00D918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5E2C81">
            <w:rPr>
              <w:noProof/>
              <w:szCs w:val="24"/>
              <w:lang w:eastAsia="tr-TR"/>
            </w:rPr>
            <w:drawing>
              <wp:inline distT="0" distB="0" distL="0" distR="0" wp14:anchorId="740FCFAE" wp14:editId="1D9F3555">
                <wp:extent cx="876300" cy="908050"/>
                <wp:effectExtent l="0" t="0" r="0" b="6350"/>
                <wp:docPr id="6" name="Resim 103" descr="C:\Users\Tuba SAVLUK\Downloads\meb_beyaz_dair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uba SAVLUK\Downloads\meb_beyaz_dair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400" cy="915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5" w:type="dxa"/>
          <w:vAlign w:val="center"/>
        </w:tcPr>
        <w:p w:rsidR="00D91828" w:rsidRPr="00061B92" w:rsidRDefault="00D91828" w:rsidP="00D9182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61B92">
            <w:rPr>
              <w:rFonts w:ascii="Times New Roman" w:hAnsi="Times New Roman" w:cs="Times New Roman"/>
              <w:b/>
              <w:sz w:val="32"/>
              <w:szCs w:val="32"/>
            </w:rPr>
            <w:t>TALİM VE TERBİYE KURULU BAŞKANLIĞI</w:t>
          </w:r>
        </w:p>
        <w:p w:rsidR="00D91828" w:rsidRPr="009B18AA" w:rsidRDefault="00D91828" w:rsidP="00D918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 w:rsidRPr="00D91828">
            <w:rPr>
              <w:rFonts w:ascii="Times New Roman" w:eastAsia="Times" w:hAnsi="Times New Roman" w:cs="Times New Roman"/>
              <w:sz w:val="28"/>
              <w:szCs w:val="28"/>
              <w:lang w:eastAsia="tr-TR"/>
            </w:rPr>
            <w:t>YÖNETİMİN GÖZDEN GEÇİRMESİ PROSEDÜRÜ</w:t>
          </w:r>
        </w:p>
      </w:tc>
      <w:tc>
        <w:tcPr>
          <w:tcW w:w="1839" w:type="dxa"/>
          <w:vAlign w:val="center"/>
        </w:tcPr>
        <w:p w:rsidR="00D91828" w:rsidRPr="005E2C81" w:rsidRDefault="00D91828" w:rsidP="00D918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FCDCE20" wp14:editId="15699012">
                <wp:simplePos x="0" y="0"/>
                <wp:positionH relativeFrom="column">
                  <wp:posOffset>95885</wp:posOffset>
                </wp:positionH>
                <wp:positionV relativeFrom="paragraph">
                  <wp:posOffset>-27940</wp:posOffset>
                </wp:positionV>
                <wp:extent cx="875665" cy="908685"/>
                <wp:effectExtent l="0" t="0" r="635" b="5715"/>
                <wp:wrapNone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15299" w:rsidRDefault="0031529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F0B" w:rsidRDefault="00FA1F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862ED"/>
    <w:multiLevelType w:val="hybridMultilevel"/>
    <w:tmpl w:val="D7E279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68"/>
    <w:rsid w:val="0007765F"/>
    <w:rsid w:val="001169C6"/>
    <w:rsid w:val="00156167"/>
    <w:rsid w:val="001610AE"/>
    <w:rsid w:val="001659B0"/>
    <w:rsid w:val="00181A43"/>
    <w:rsid w:val="0018505B"/>
    <w:rsid w:val="001B28F9"/>
    <w:rsid w:val="001C38DD"/>
    <w:rsid w:val="001D5244"/>
    <w:rsid w:val="001E2DFF"/>
    <w:rsid w:val="0020642D"/>
    <w:rsid w:val="002454E5"/>
    <w:rsid w:val="002478EE"/>
    <w:rsid w:val="00283AFA"/>
    <w:rsid w:val="002842E3"/>
    <w:rsid w:val="00287C8C"/>
    <w:rsid w:val="00296943"/>
    <w:rsid w:val="002D7786"/>
    <w:rsid w:val="002E239C"/>
    <w:rsid w:val="002F4033"/>
    <w:rsid w:val="00315299"/>
    <w:rsid w:val="00341603"/>
    <w:rsid w:val="0034715C"/>
    <w:rsid w:val="003A34EA"/>
    <w:rsid w:val="003D1237"/>
    <w:rsid w:val="003F5B1D"/>
    <w:rsid w:val="004000FF"/>
    <w:rsid w:val="00443C82"/>
    <w:rsid w:val="0045767C"/>
    <w:rsid w:val="0049310C"/>
    <w:rsid w:val="00556EE2"/>
    <w:rsid w:val="00556F21"/>
    <w:rsid w:val="00565B08"/>
    <w:rsid w:val="005C6E52"/>
    <w:rsid w:val="005F4DA9"/>
    <w:rsid w:val="0061749B"/>
    <w:rsid w:val="00673230"/>
    <w:rsid w:val="0067531C"/>
    <w:rsid w:val="006B5D5A"/>
    <w:rsid w:val="006F0CFE"/>
    <w:rsid w:val="00723C0C"/>
    <w:rsid w:val="007705C1"/>
    <w:rsid w:val="007A080B"/>
    <w:rsid w:val="007A457D"/>
    <w:rsid w:val="007C4D94"/>
    <w:rsid w:val="0080751B"/>
    <w:rsid w:val="00852631"/>
    <w:rsid w:val="00864F1F"/>
    <w:rsid w:val="00881420"/>
    <w:rsid w:val="008835D3"/>
    <w:rsid w:val="008940C0"/>
    <w:rsid w:val="008A0E54"/>
    <w:rsid w:val="008C07BE"/>
    <w:rsid w:val="008C08AA"/>
    <w:rsid w:val="008C4A5C"/>
    <w:rsid w:val="00920F68"/>
    <w:rsid w:val="0094498D"/>
    <w:rsid w:val="009714B8"/>
    <w:rsid w:val="009B4A9F"/>
    <w:rsid w:val="009C5691"/>
    <w:rsid w:val="009F2D83"/>
    <w:rsid w:val="00A03D2C"/>
    <w:rsid w:val="00A208D6"/>
    <w:rsid w:val="00A3731A"/>
    <w:rsid w:val="00A415A3"/>
    <w:rsid w:val="00A460AD"/>
    <w:rsid w:val="00A460E8"/>
    <w:rsid w:val="00A65426"/>
    <w:rsid w:val="00A743B1"/>
    <w:rsid w:val="00AB5015"/>
    <w:rsid w:val="00B56742"/>
    <w:rsid w:val="00B77B8F"/>
    <w:rsid w:val="00BB640D"/>
    <w:rsid w:val="00BD72BF"/>
    <w:rsid w:val="00BE132F"/>
    <w:rsid w:val="00C12BC5"/>
    <w:rsid w:val="00C16B76"/>
    <w:rsid w:val="00C257BD"/>
    <w:rsid w:val="00C36F3D"/>
    <w:rsid w:val="00C466A8"/>
    <w:rsid w:val="00C6273B"/>
    <w:rsid w:val="00C90E1E"/>
    <w:rsid w:val="00CE21B7"/>
    <w:rsid w:val="00D554CA"/>
    <w:rsid w:val="00D91828"/>
    <w:rsid w:val="00DD7531"/>
    <w:rsid w:val="00E36041"/>
    <w:rsid w:val="00EA7CDC"/>
    <w:rsid w:val="00EB48D4"/>
    <w:rsid w:val="00F3382C"/>
    <w:rsid w:val="00F338C7"/>
    <w:rsid w:val="00F609CF"/>
    <w:rsid w:val="00FA0BFC"/>
    <w:rsid w:val="00FA1E56"/>
    <w:rsid w:val="00FA1F0B"/>
    <w:rsid w:val="00FA4058"/>
    <w:rsid w:val="00FC02DF"/>
    <w:rsid w:val="00FC438A"/>
    <w:rsid w:val="00FC631F"/>
    <w:rsid w:val="00FE0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08084"/>
  <w15:docId w15:val="{6D071AD1-BFF9-4673-97A4-298F9E34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0F68"/>
  </w:style>
  <w:style w:type="paragraph" w:styleId="AltBilgi">
    <w:name w:val="footer"/>
    <w:basedOn w:val="Normal"/>
    <w:link w:val="AltBilgiChar"/>
    <w:uiPriority w:val="99"/>
    <w:unhideWhenUsed/>
    <w:rsid w:val="0092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0F68"/>
  </w:style>
  <w:style w:type="paragraph" w:styleId="BalonMetni">
    <w:name w:val="Balloon Text"/>
    <w:basedOn w:val="Normal"/>
    <w:link w:val="BalonMetniChar"/>
    <w:uiPriority w:val="99"/>
    <w:semiHidden/>
    <w:unhideWhenUsed/>
    <w:rsid w:val="006B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D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8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0B1F2-25F4-44B2-984A-42197CA6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 CALISKAN</dc:creator>
  <cp:lastModifiedBy>Esra GUMUS</cp:lastModifiedBy>
  <cp:revision>17</cp:revision>
  <cp:lastPrinted>2024-03-30T20:53:00Z</cp:lastPrinted>
  <dcterms:created xsi:type="dcterms:W3CDTF">2023-08-23T12:36:00Z</dcterms:created>
  <dcterms:modified xsi:type="dcterms:W3CDTF">2024-12-20T09:11:00Z</dcterms:modified>
</cp:coreProperties>
</file>